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0EA" w:rsidRPr="00296E57" w:rsidRDefault="005770EA" w:rsidP="005770EA">
      <w:pPr>
        <w:spacing w:line="600" w:lineRule="exact"/>
        <w:jc w:val="left"/>
        <w:rPr>
          <w:rFonts w:asciiTheme="majorEastAsia" w:eastAsiaTheme="majorEastAsia" w:hAnsiTheme="majorEastAsia"/>
          <w:sz w:val="32"/>
          <w:szCs w:val="32"/>
        </w:rPr>
      </w:pPr>
      <w:bookmarkStart w:id="0" w:name="_GoBack"/>
    </w:p>
    <w:bookmarkEnd w:id="0"/>
    <w:p w:rsidR="005770EA" w:rsidRPr="006D3CC2" w:rsidRDefault="005770EA" w:rsidP="005770EA">
      <w:pPr>
        <w:spacing w:line="600" w:lineRule="exact"/>
        <w:jc w:val="center"/>
        <w:rPr>
          <w:rFonts w:asciiTheme="majorEastAsia" w:eastAsiaTheme="majorEastAsia" w:hAnsiTheme="majorEastAsia"/>
          <w:sz w:val="44"/>
          <w:szCs w:val="44"/>
        </w:rPr>
      </w:pPr>
      <w:r w:rsidRPr="006D3CC2">
        <w:rPr>
          <w:rFonts w:asciiTheme="majorEastAsia" w:eastAsiaTheme="majorEastAsia" w:hAnsiTheme="majorEastAsia" w:hint="eastAsia"/>
          <w:sz w:val="44"/>
          <w:szCs w:val="44"/>
        </w:rPr>
        <w:t>柳州市本级机关培训费管理办法</w:t>
      </w:r>
    </w:p>
    <w:p w:rsidR="005770EA" w:rsidRDefault="005770EA" w:rsidP="005770EA">
      <w:pPr>
        <w:spacing w:line="440" w:lineRule="exact"/>
        <w:jc w:val="center"/>
        <w:rPr>
          <w:rFonts w:ascii="仿宋_GB2312" w:eastAsia="仿宋_GB2312"/>
          <w:b/>
          <w:sz w:val="32"/>
          <w:szCs w:val="32"/>
        </w:rPr>
      </w:pPr>
      <w:r>
        <w:rPr>
          <w:rFonts w:ascii="仿宋_GB2312" w:eastAsia="仿宋_GB2312" w:hint="eastAsia"/>
          <w:b/>
          <w:sz w:val="32"/>
          <w:szCs w:val="32"/>
        </w:rPr>
        <w:t>第一章  总则</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一条为进一步规范柳州市本级机关培训工作，保证培训工作需要，加强培训费管理，依据《中华人民共和国公务员法》《干部教育培训工作条例》和其他有关法律法规，参照《自治区本级机关培训费管理办法》结合我市实际，制定本办法。</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第二条本办法适用于市本级党的机关，人大机关、行政机关、政协机关、监察机关、审判机关、检察机关以及各人民团体，各民主党派、工商联和参照公务员法管理的事业单位（以下简称“各单位”）。</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第三条本办法所称培训，是指各单位使用财政资金在境内举办的三个月以内的各类培训。</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第四条各单位举办培训应当坚持厉行节约、反对浪费的原则，实行单位内部统一管理，增强培训计划的科学性和严肃性，增强培训项目的针对性和实效性，保证培训质量，节约培训资源，提高培训经费使用效益。</w:t>
      </w:r>
    </w:p>
    <w:p w:rsidR="005770EA" w:rsidRDefault="005770EA" w:rsidP="005770EA">
      <w:pPr>
        <w:spacing w:line="440" w:lineRule="exact"/>
        <w:jc w:val="center"/>
        <w:rPr>
          <w:rFonts w:ascii="仿宋_GB2312" w:eastAsia="仿宋_GB2312"/>
          <w:b/>
          <w:sz w:val="32"/>
          <w:szCs w:val="32"/>
        </w:rPr>
      </w:pPr>
      <w:r>
        <w:rPr>
          <w:rFonts w:ascii="仿宋_GB2312" w:eastAsia="仿宋_GB2312" w:hint="eastAsia"/>
          <w:b/>
          <w:sz w:val="32"/>
          <w:szCs w:val="32"/>
        </w:rPr>
        <w:t>第二章  计划和备案管理</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五条建立培训计划编报和审批制度。各单位培训主管部门制订的本单位年度培训计划（包括培训名称、对象、内容、时间、地点、参训人数、所需经费及列支渠道等），经单位财务部门审核后，一并报单位领导办公会议或党组（党委）会议批准后，按照关于下发《柳州市“一包方式管培训”管理办法（暂行）的通知》（柳人社发【2016】76号）的要求，在每年9月20日前将下一年度培训计划报</w:t>
      </w:r>
      <w:r w:rsidRPr="007E6BA3">
        <w:rPr>
          <w:rFonts w:ascii="仿宋_GB2312" w:eastAsia="仿宋_GB2312" w:hAnsi="仿宋" w:hint="eastAsia"/>
          <w:sz w:val="32"/>
          <w:szCs w:val="32"/>
          <w:shd w:val="clear" w:color="auto" w:fill="FFFFFF"/>
        </w:rPr>
        <w:t>柳州市“一包方式管培训”工作领导小组</w:t>
      </w:r>
      <w:r>
        <w:rPr>
          <w:rFonts w:ascii="仿宋_GB2312" w:eastAsia="仿宋_GB2312" w:hAnsi="仿宋" w:hint="eastAsia"/>
          <w:sz w:val="32"/>
          <w:szCs w:val="32"/>
          <w:shd w:val="clear" w:color="auto" w:fill="FFFFFF"/>
        </w:rPr>
        <w:t>批准后施行</w:t>
      </w:r>
      <w:r>
        <w:rPr>
          <w:rFonts w:ascii="仿宋_GB2312" w:eastAsia="仿宋_GB2312" w:hint="eastAsia"/>
          <w:sz w:val="32"/>
          <w:szCs w:val="32"/>
        </w:rPr>
        <w:t>。</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第六条年度培训计划一经批准，原则上不得调整。因工作需要确需临时增加培训项目的，报</w:t>
      </w:r>
      <w:r>
        <w:rPr>
          <w:rFonts w:ascii="仿宋_GB2312" w:eastAsia="仿宋_GB2312" w:hAnsi="仿宋" w:hint="eastAsia"/>
          <w:sz w:val="32"/>
          <w:szCs w:val="32"/>
          <w:shd w:val="clear" w:color="auto" w:fill="FFFFFF"/>
        </w:rPr>
        <w:t>单位主要负责同志审批，</w:t>
      </w:r>
      <w:r>
        <w:rPr>
          <w:rFonts w:ascii="仿宋_GB2312" w:eastAsia="仿宋_GB2312" w:hint="eastAsia"/>
          <w:sz w:val="32"/>
          <w:szCs w:val="32"/>
        </w:rPr>
        <w:t>并报有关部门备案。</w:t>
      </w:r>
    </w:p>
    <w:p w:rsidR="005770EA" w:rsidRDefault="005770EA" w:rsidP="005770EA">
      <w:pPr>
        <w:spacing w:line="440" w:lineRule="exact"/>
        <w:jc w:val="center"/>
        <w:rPr>
          <w:rFonts w:ascii="仿宋_GB2312" w:eastAsia="仿宋_GB2312"/>
          <w:b/>
          <w:sz w:val="32"/>
          <w:szCs w:val="32"/>
        </w:rPr>
      </w:pPr>
      <w:r>
        <w:rPr>
          <w:rFonts w:ascii="仿宋_GB2312" w:eastAsia="仿宋_GB2312" w:hint="eastAsia"/>
          <w:b/>
          <w:sz w:val="32"/>
          <w:szCs w:val="32"/>
        </w:rPr>
        <w:lastRenderedPageBreak/>
        <w:t>第三章  开支范围和标准</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第七条本办法所称培训费，是指各单位开展培训直接发生的各项费用支出，包括师资费、住宿费、伙食费、培训场地费、培训资料费、交通费以及其他费用。</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（一）师资费是指聘请师资授课发生的费用，包括授课老师讲课费、住宿费、伙食费、城市间交通费等。</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（二）住宿费是指参训人员及工作人员（不含参训人员携带的司机等其他人员）培训期间发生的租住房间的费用。</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（三）伙食费是指参训人员及工作人员（不含参训人员携带的司机等其他人员）培训期间发生的用餐费用。</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（四）培训场地费是指用于培训的会议室或教室租金。</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（五）培训资料费是指培训期间必要的资料及办公用品费。</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（六）交通费是指用于培训所需的人员接送以及与培训和现场教学有关的考察、调研等发生的交通支出。</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（七）其他费用是指现场教学费、设备租赁费、文体活动费、医药费等与培训有关的其他支出。</w:t>
      </w:r>
    </w:p>
    <w:p w:rsidR="005770EA" w:rsidRPr="00B94509"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参训人员参加培训往返及异地教学发生的城市间交通费，按照差旅费有关规定回单位报销。</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第八条除师资费外，培训费实行分类综合定额标准，分项核定、总额控制，各项费用之间可以调剂使用。综合定额标准如下：</w:t>
      </w:r>
    </w:p>
    <w:p w:rsidR="005770EA" w:rsidRDefault="005770EA" w:rsidP="005770EA">
      <w:pPr>
        <w:spacing w:line="460" w:lineRule="exact"/>
        <w:ind w:firstLineChars="1800" w:firstLine="5760"/>
        <w:rPr>
          <w:rFonts w:ascii="仿宋_GB2312" w:eastAsia="仿宋_GB2312"/>
          <w:sz w:val="32"/>
          <w:szCs w:val="32"/>
        </w:rPr>
      </w:pPr>
      <w:r>
        <w:rPr>
          <w:rFonts w:ascii="仿宋_GB2312" w:eastAsia="仿宋_GB2312" w:hint="eastAsia"/>
          <w:sz w:val="32"/>
          <w:szCs w:val="32"/>
        </w:rPr>
        <w:t>单位：元／人·天</w:t>
      </w:r>
    </w:p>
    <w:tbl>
      <w:tblPr>
        <w:tblStyle w:val="a3"/>
        <w:tblW w:w="8945" w:type="dxa"/>
        <w:tblLayout w:type="fixed"/>
        <w:tblLook w:val="04A0"/>
      </w:tblPr>
      <w:tblGrid>
        <w:gridCol w:w="1516"/>
        <w:gridCol w:w="1232"/>
        <w:gridCol w:w="1277"/>
        <w:gridCol w:w="1516"/>
        <w:gridCol w:w="2144"/>
        <w:gridCol w:w="1260"/>
      </w:tblGrid>
      <w:tr w:rsidR="005770EA" w:rsidTr="003142F0">
        <w:trPr>
          <w:trHeight w:val="752"/>
        </w:trPr>
        <w:tc>
          <w:tcPr>
            <w:tcW w:w="1516" w:type="dxa"/>
            <w:tcBorders>
              <w:top w:val="single" w:sz="4" w:space="0" w:color="auto"/>
              <w:left w:val="single" w:sz="4" w:space="0" w:color="auto"/>
              <w:bottom w:val="single" w:sz="4" w:space="0" w:color="auto"/>
              <w:right w:val="single" w:sz="4" w:space="0" w:color="auto"/>
            </w:tcBorders>
            <w:vAlign w:val="center"/>
          </w:tcPr>
          <w:p w:rsidR="005770EA" w:rsidRDefault="005770EA" w:rsidP="003142F0">
            <w:pPr>
              <w:spacing w:line="500" w:lineRule="exact"/>
              <w:jc w:val="center"/>
              <w:rPr>
                <w:rFonts w:ascii="仿宋_GB2312" w:eastAsia="仿宋_GB2312"/>
                <w:b/>
                <w:sz w:val="28"/>
                <w:szCs w:val="28"/>
              </w:rPr>
            </w:pPr>
            <w:r>
              <w:rPr>
                <w:rFonts w:ascii="仿宋_GB2312" w:eastAsia="仿宋_GB2312" w:hint="eastAsia"/>
                <w:b/>
                <w:sz w:val="28"/>
                <w:szCs w:val="28"/>
              </w:rPr>
              <w:t>培训班</w:t>
            </w:r>
          </w:p>
          <w:p w:rsidR="005770EA" w:rsidRDefault="005770EA" w:rsidP="003142F0">
            <w:pPr>
              <w:spacing w:line="500" w:lineRule="exact"/>
              <w:jc w:val="center"/>
              <w:rPr>
                <w:rFonts w:ascii="仿宋_GB2312" w:eastAsia="仿宋_GB2312"/>
                <w:b/>
                <w:sz w:val="28"/>
                <w:szCs w:val="28"/>
              </w:rPr>
            </w:pPr>
            <w:r>
              <w:rPr>
                <w:rFonts w:ascii="仿宋_GB2312" w:eastAsia="仿宋_GB2312" w:hint="eastAsia"/>
                <w:b/>
                <w:sz w:val="28"/>
                <w:szCs w:val="28"/>
              </w:rPr>
              <w:t>地点</w:t>
            </w:r>
          </w:p>
        </w:tc>
        <w:tc>
          <w:tcPr>
            <w:tcW w:w="1232" w:type="dxa"/>
            <w:tcBorders>
              <w:top w:val="single" w:sz="4" w:space="0" w:color="auto"/>
              <w:left w:val="single" w:sz="4" w:space="0" w:color="auto"/>
              <w:bottom w:val="single" w:sz="4" w:space="0" w:color="auto"/>
              <w:right w:val="single" w:sz="4" w:space="0" w:color="auto"/>
            </w:tcBorders>
            <w:vAlign w:val="center"/>
          </w:tcPr>
          <w:p w:rsidR="005770EA" w:rsidRDefault="005770EA" w:rsidP="003142F0">
            <w:pPr>
              <w:spacing w:line="500" w:lineRule="exact"/>
              <w:jc w:val="center"/>
              <w:rPr>
                <w:rFonts w:ascii="仿宋_GB2312" w:eastAsia="仿宋_GB2312"/>
                <w:b/>
                <w:sz w:val="28"/>
                <w:szCs w:val="28"/>
              </w:rPr>
            </w:pPr>
            <w:r>
              <w:rPr>
                <w:rFonts w:ascii="仿宋_GB2312" w:eastAsia="仿宋_GB2312" w:hint="eastAsia"/>
                <w:b/>
                <w:sz w:val="28"/>
                <w:szCs w:val="28"/>
              </w:rPr>
              <w:t>住宿费</w:t>
            </w:r>
          </w:p>
        </w:tc>
        <w:tc>
          <w:tcPr>
            <w:tcW w:w="1277" w:type="dxa"/>
            <w:tcBorders>
              <w:top w:val="single" w:sz="4" w:space="0" w:color="auto"/>
              <w:left w:val="single" w:sz="4" w:space="0" w:color="auto"/>
              <w:bottom w:val="single" w:sz="4" w:space="0" w:color="auto"/>
              <w:right w:val="single" w:sz="4" w:space="0" w:color="auto"/>
            </w:tcBorders>
            <w:vAlign w:val="center"/>
          </w:tcPr>
          <w:p w:rsidR="005770EA" w:rsidRDefault="005770EA" w:rsidP="003142F0">
            <w:pPr>
              <w:spacing w:line="500" w:lineRule="exact"/>
              <w:jc w:val="center"/>
              <w:rPr>
                <w:rFonts w:ascii="仿宋_GB2312" w:eastAsia="仿宋_GB2312"/>
                <w:b/>
                <w:sz w:val="28"/>
                <w:szCs w:val="28"/>
              </w:rPr>
            </w:pPr>
            <w:r>
              <w:rPr>
                <w:rFonts w:ascii="仿宋_GB2312" w:eastAsia="仿宋_GB2312" w:hint="eastAsia"/>
                <w:b/>
                <w:sz w:val="28"/>
                <w:szCs w:val="28"/>
              </w:rPr>
              <w:t>伙食费</w:t>
            </w:r>
          </w:p>
        </w:tc>
        <w:tc>
          <w:tcPr>
            <w:tcW w:w="1516" w:type="dxa"/>
            <w:tcBorders>
              <w:top w:val="single" w:sz="4" w:space="0" w:color="auto"/>
              <w:left w:val="single" w:sz="4" w:space="0" w:color="auto"/>
              <w:bottom w:val="single" w:sz="4" w:space="0" w:color="auto"/>
              <w:right w:val="single" w:sz="4" w:space="0" w:color="auto"/>
            </w:tcBorders>
            <w:vAlign w:val="center"/>
          </w:tcPr>
          <w:p w:rsidR="005770EA" w:rsidRDefault="005770EA" w:rsidP="003142F0">
            <w:pPr>
              <w:spacing w:line="500" w:lineRule="exact"/>
              <w:jc w:val="center"/>
              <w:rPr>
                <w:rFonts w:ascii="仿宋_GB2312" w:eastAsia="仿宋_GB2312"/>
                <w:b/>
                <w:sz w:val="28"/>
                <w:szCs w:val="28"/>
              </w:rPr>
            </w:pPr>
            <w:r>
              <w:rPr>
                <w:rFonts w:ascii="仿宋_GB2312" w:eastAsia="仿宋_GB2312" w:hint="eastAsia"/>
                <w:b/>
                <w:sz w:val="28"/>
                <w:szCs w:val="28"/>
              </w:rPr>
              <w:t>场地费、资料费、</w:t>
            </w:r>
          </w:p>
          <w:p w:rsidR="005770EA" w:rsidRDefault="005770EA" w:rsidP="003142F0">
            <w:pPr>
              <w:spacing w:line="500" w:lineRule="exact"/>
              <w:jc w:val="center"/>
              <w:rPr>
                <w:rFonts w:ascii="仿宋_GB2312" w:eastAsia="仿宋_GB2312"/>
                <w:b/>
                <w:sz w:val="28"/>
                <w:szCs w:val="28"/>
              </w:rPr>
            </w:pPr>
            <w:r>
              <w:rPr>
                <w:rFonts w:ascii="仿宋_GB2312" w:eastAsia="仿宋_GB2312" w:hint="eastAsia"/>
                <w:b/>
                <w:sz w:val="28"/>
                <w:szCs w:val="28"/>
              </w:rPr>
              <w:t>交通费</w:t>
            </w:r>
          </w:p>
        </w:tc>
        <w:tc>
          <w:tcPr>
            <w:tcW w:w="2144" w:type="dxa"/>
            <w:tcBorders>
              <w:top w:val="single" w:sz="4" w:space="0" w:color="auto"/>
              <w:left w:val="single" w:sz="4" w:space="0" w:color="auto"/>
              <w:bottom w:val="single" w:sz="4" w:space="0" w:color="auto"/>
              <w:right w:val="single" w:sz="4" w:space="0" w:color="auto"/>
            </w:tcBorders>
            <w:vAlign w:val="center"/>
          </w:tcPr>
          <w:p w:rsidR="005770EA" w:rsidRDefault="005770EA" w:rsidP="003142F0">
            <w:pPr>
              <w:spacing w:line="500" w:lineRule="exact"/>
              <w:jc w:val="center"/>
              <w:rPr>
                <w:rFonts w:ascii="仿宋_GB2312" w:eastAsia="仿宋_GB2312"/>
                <w:b/>
                <w:sz w:val="28"/>
                <w:szCs w:val="28"/>
              </w:rPr>
            </w:pPr>
            <w:r>
              <w:rPr>
                <w:rFonts w:ascii="仿宋_GB2312" w:eastAsia="仿宋_GB2312" w:hint="eastAsia"/>
                <w:b/>
                <w:sz w:val="28"/>
                <w:szCs w:val="28"/>
              </w:rPr>
              <w:t>其他费用</w:t>
            </w:r>
          </w:p>
        </w:tc>
        <w:tc>
          <w:tcPr>
            <w:tcW w:w="1260" w:type="dxa"/>
            <w:tcBorders>
              <w:top w:val="single" w:sz="4" w:space="0" w:color="auto"/>
              <w:left w:val="single" w:sz="4" w:space="0" w:color="auto"/>
              <w:bottom w:val="single" w:sz="4" w:space="0" w:color="auto"/>
              <w:right w:val="single" w:sz="4" w:space="0" w:color="auto"/>
            </w:tcBorders>
            <w:vAlign w:val="center"/>
          </w:tcPr>
          <w:p w:rsidR="005770EA" w:rsidRDefault="005770EA" w:rsidP="003142F0">
            <w:pPr>
              <w:spacing w:line="500" w:lineRule="exact"/>
              <w:jc w:val="center"/>
              <w:rPr>
                <w:rFonts w:ascii="仿宋_GB2312" w:eastAsia="仿宋_GB2312"/>
                <w:b/>
                <w:sz w:val="28"/>
                <w:szCs w:val="28"/>
              </w:rPr>
            </w:pPr>
            <w:r>
              <w:rPr>
                <w:rFonts w:ascii="仿宋_GB2312" w:eastAsia="仿宋_GB2312" w:hint="eastAsia"/>
                <w:b/>
                <w:sz w:val="28"/>
                <w:szCs w:val="28"/>
              </w:rPr>
              <w:t>合计</w:t>
            </w:r>
          </w:p>
        </w:tc>
      </w:tr>
      <w:tr w:rsidR="005770EA" w:rsidTr="003142F0">
        <w:trPr>
          <w:trHeight w:val="631"/>
        </w:trPr>
        <w:tc>
          <w:tcPr>
            <w:tcW w:w="1516" w:type="dxa"/>
            <w:tcBorders>
              <w:top w:val="single" w:sz="4" w:space="0" w:color="auto"/>
              <w:left w:val="single" w:sz="4" w:space="0" w:color="auto"/>
              <w:bottom w:val="single" w:sz="4" w:space="0" w:color="auto"/>
              <w:right w:val="single" w:sz="4" w:space="0" w:color="auto"/>
            </w:tcBorders>
            <w:vAlign w:val="center"/>
          </w:tcPr>
          <w:p w:rsidR="005770EA" w:rsidRDefault="005770EA" w:rsidP="003142F0">
            <w:pPr>
              <w:spacing w:line="500" w:lineRule="exact"/>
              <w:jc w:val="center"/>
              <w:rPr>
                <w:rFonts w:ascii="仿宋_GB2312" w:eastAsia="仿宋_GB2312"/>
                <w:sz w:val="28"/>
                <w:szCs w:val="28"/>
              </w:rPr>
            </w:pPr>
            <w:r>
              <w:rPr>
                <w:rFonts w:ascii="仿宋_GB2312" w:eastAsia="仿宋_GB2312" w:hint="eastAsia"/>
                <w:sz w:val="28"/>
                <w:szCs w:val="28"/>
              </w:rPr>
              <w:t>区外</w:t>
            </w:r>
          </w:p>
        </w:tc>
        <w:tc>
          <w:tcPr>
            <w:tcW w:w="1232" w:type="dxa"/>
            <w:tcBorders>
              <w:top w:val="single" w:sz="4" w:space="0" w:color="auto"/>
              <w:left w:val="single" w:sz="4" w:space="0" w:color="auto"/>
              <w:bottom w:val="single" w:sz="4" w:space="0" w:color="auto"/>
              <w:right w:val="single" w:sz="4" w:space="0" w:color="auto"/>
            </w:tcBorders>
            <w:vAlign w:val="center"/>
          </w:tcPr>
          <w:p w:rsidR="005770EA" w:rsidRDefault="005770EA" w:rsidP="003142F0">
            <w:pPr>
              <w:spacing w:line="500" w:lineRule="exact"/>
              <w:jc w:val="center"/>
              <w:rPr>
                <w:rFonts w:ascii="仿宋_GB2312" w:eastAsia="仿宋_GB2312"/>
                <w:sz w:val="28"/>
                <w:szCs w:val="28"/>
              </w:rPr>
            </w:pPr>
            <w:r>
              <w:rPr>
                <w:rFonts w:ascii="仿宋_GB2312" w:eastAsia="仿宋_GB2312" w:hint="eastAsia"/>
                <w:sz w:val="28"/>
                <w:szCs w:val="28"/>
              </w:rPr>
              <w:t>320</w:t>
            </w:r>
          </w:p>
        </w:tc>
        <w:tc>
          <w:tcPr>
            <w:tcW w:w="1277" w:type="dxa"/>
            <w:tcBorders>
              <w:top w:val="single" w:sz="4" w:space="0" w:color="auto"/>
              <w:left w:val="single" w:sz="4" w:space="0" w:color="auto"/>
              <w:bottom w:val="single" w:sz="4" w:space="0" w:color="auto"/>
              <w:right w:val="single" w:sz="4" w:space="0" w:color="auto"/>
            </w:tcBorders>
            <w:vAlign w:val="center"/>
          </w:tcPr>
          <w:p w:rsidR="005770EA" w:rsidRDefault="005770EA" w:rsidP="003142F0">
            <w:pPr>
              <w:spacing w:line="500" w:lineRule="exact"/>
              <w:jc w:val="center"/>
              <w:rPr>
                <w:rFonts w:ascii="仿宋_GB2312" w:eastAsia="仿宋_GB2312"/>
                <w:sz w:val="28"/>
                <w:szCs w:val="28"/>
              </w:rPr>
            </w:pPr>
            <w:r>
              <w:rPr>
                <w:rFonts w:ascii="仿宋_GB2312" w:eastAsia="仿宋_GB2312" w:hint="eastAsia"/>
                <w:sz w:val="28"/>
                <w:szCs w:val="28"/>
              </w:rPr>
              <w:t>150</w:t>
            </w:r>
          </w:p>
        </w:tc>
        <w:tc>
          <w:tcPr>
            <w:tcW w:w="1516" w:type="dxa"/>
            <w:tcBorders>
              <w:top w:val="single" w:sz="4" w:space="0" w:color="auto"/>
              <w:left w:val="single" w:sz="4" w:space="0" w:color="auto"/>
              <w:bottom w:val="single" w:sz="4" w:space="0" w:color="auto"/>
              <w:right w:val="single" w:sz="4" w:space="0" w:color="auto"/>
            </w:tcBorders>
            <w:vAlign w:val="center"/>
          </w:tcPr>
          <w:p w:rsidR="005770EA" w:rsidRDefault="005770EA" w:rsidP="003142F0">
            <w:pPr>
              <w:spacing w:line="500" w:lineRule="exact"/>
              <w:jc w:val="center"/>
              <w:rPr>
                <w:rFonts w:ascii="仿宋_GB2312" w:eastAsia="仿宋_GB2312"/>
                <w:sz w:val="28"/>
                <w:szCs w:val="28"/>
              </w:rPr>
            </w:pPr>
            <w:r>
              <w:rPr>
                <w:rFonts w:ascii="仿宋_GB2312" w:eastAsia="仿宋_GB2312" w:hint="eastAsia"/>
                <w:sz w:val="28"/>
                <w:szCs w:val="28"/>
              </w:rPr>
              <w:t>50</w:t>
            </w:r>
          </w:p>
        </w:tc>
        <w:tc>
          <w:tcPr>
            <w:tcW w:w="2144" w:type="dxa"/>
            <w:tcBorders>
              <w:top w:val="single" w:sz="4" w:space="0" w:color="auto"/>
              <w:left w:val="single" w:sz="4" w:space="0" w:color="auto"/>
              <w:bottom w:val="single" w:sz="4" w:space="0" w:color="auto"/>
              <w:right w:val="single" w:sz="4" w:space="0" w:color="auto"/>
            </w:tcBorders>
            <w:vAlign w:val="center"/>
          </w:tcPr>
          <w:p w:rsidR="005770EA" w:rsidRDefault="005770EA" w:rsidP="003142F0">
            <w:pPr>
              <w:spacing w:line="500" w:lineRule="exact"/>
              <w:jc w:val="center"/>
              <w:rPr>
                <w:rFonts w:ascii="仿宋_GB2312" w:eastAsia="仿宋_GB2312"/>
                <w:sz w:val="28"/>
                <w:szCs w:val="28"/>
              </w:rPr>
            </w:pPr>
            <w:r>
              <w:rPr>
                <w:rFonts w:ascii="仿宋_GB2312" w:eastAsia="仿宋_GB2312" w:hint="eastAsia"/>
                <w:sz w:val="28"/>
                <w:szCs w:val="28"/>
              </w:rPr>
              <w:t>30</w:t>
            </w:r>
          </w:p>
        </w:tc>
        <w:tc>
          <w:tcPr>
            <w:tcW w:w="1260" w:type="dxa"/>
            <w:tcBorders>
              <w:top w:val="single" w:sz="4" w:space="0" w:color="auto"/>
              <w:left w:val="single" w:sz="4" w:space="0" w:color="auto"/>
              <w:bottom w:val="single" w:sz="4" w:space="0" w:color="auto"/>
              <w:right w:val="single" w:sz="4" w:space="0" w:color="auto"/>
            </w:tcBorders>
            <w:vAlign w:val="center"/>
          </w:tcPr>
          <w:p w:rsidR="005770EA" w:rsidRDefault="005770EA" w:rsidP="003142F0">
            <w:pPr>
              <w:spacing w:line="500" w:lineRule="exact"/>
              <w:jc w:val="center"/>
              <w:rPr>
                <w:rFonts w:ascii="仿宋_GB2312" w:eastAsia="仿宋_GB2312"/>
                <w:sz w:val="28"/>
                <w:szCs w:val="28"/>
              </w:rPr>
            </w:pPr>
            <w:r>
              <w:rPr>
                <w:rFonts w:ascii="仿宋_GB2312" w:eastAsia="仿宋_GB2312" w:hint="eastAsia"/>
                <w:sz w:val="28"/>
                <w:szCs w:val="28"/>
              </w:rPr>
              <w:t>550</w:t>
            </w:r>
          </w:p>
        </w:tc>
      </w:tr>
      <w:tr w:rsidR="005770EA" w:rsidTr="003142F0">
        <w:trPr>
          <w:trHeight w:val="631"/>
        </w:trPr>
        <w:tc>
          <w:tcPr>
            <w:tcW w:w="1516" w:type="dxa"/>
            <w:tcBorders>
              <w:top w:val="single" w:sz="4" w:space="0" w:color="auto"/>
              <w:left w:val="single" w:sz="4" w:space="0" w:color="auto"/>
              <w:bottom w:val="single" w:sz="4" w:space="0" w:color="auto"/>
              <w:right w:val="single" w:sz="4" w:space="0" w:color="auto"/>
            </w:tcBorders>
            <w:vAlign w:val="center"/>
          </w:tcPr>
          <w:p w:rsidR="005770EA" w:rsidRDefault="005770EA" w:rsidP="003142F0">
            <w:pPr>
              <w:spacing w:line="500" w:lineRule="exact"/>
              <w:jc w:val="center"/>
              <w:rPr>
                <w:rFonts w:ascii="仿宋_GB2312" w:eastAsia="仿宋_GB2312"/>
                <w:sz w:val="28"/>
                <w:szCs w:val="28"/>
              </w:rPr>
            </w:pPr>
            <w:r>
              <w:rPr>
                <w:rFonts w:ascii="仿宋_GB2312" w:eastAsia="仿宋_GB2312" w:hint="eastAsia"/>
                <w:sz w:val="28"/>
                <w:szCs w:val="28"/>
              </w:rPr>
              <w:t>区内</w:t>
            </w:r>
          </w:p>
        </w:tc>
        <w:tc>
          <w:tcPr>
            <w:tcW w:w="1232" w:type="dxa"/>
            <w:tcBorders>
              <w:top w:val="single" w:sz="4" w:space="0" w:color="auto"/>
              <w:left w:val="single" w:sz="4" w:space="0" w:color="auto"/>
              <w:bottom w:val="single" w:sz="4" w:space="0" w:color="auto"/>
              <w:right w:val="single" w:sz="4" w:space="0" w:color="auto"/>
            </w:tcBorders>
            <w:vAlign w:val="center"/>
          </w:tcPr>
          <w:p w:rsidR="005770EA" w:rsidRDefault="005770EA" w:rsidP="003142F0">
            <w:pPr>
              <w:spacing w:line="500" w:lineRule="exact"/>
              <w:jc w:val="center"/>
              <w:rPr>
                <w:rFonts w:ascii="仿宋_GB2312" w:eastAsia="仿宋_GB2312"/>
                <w:sz w:val="28"/>
                <w:szCs w:val="28"/>
              </w:rPr>
            </w:pPr>
            <w:r>
              <w:rPr>
                <w:rFonts w:ascii="仿宋_GB2312" w:eastAsia="仿宋_GB2312" w:hint="eastAsia"/>
                <w:sz w:val="28"/>
                <w:szCs w:val="28"/>
              </w:rPr>
              <w:t>230</w:t>
            </w:r>
          </w:p>
        </w:tc>
        <w:tc>
          <w:tcPr>
            <w:tcW w:w="1277" w:type="dxa"/>
            <w:tcBorders>
              <w:top w:val="single" w:sz="4" w:space="0" w:color="auto"/>
              <w:left w:val="single" w:sz="4" w:space="0" w:color="auto"/>
              <w:bottom w:val="single" w:sz="4" w:space="0" w:color="auto"/>
              <w:right w:val="single" w:sz="4" w:space="0" w:color="auto"/>
            </w:tcBorders>
            <w:vAlign w:val="center"/>
          </w:tcPr>
          <w:p w:rsidR="005770EA" w:rsidRDefault="005770EA" w:rsidP="003142F0">
            <w:pPr>
              <w:spacing w:line="500" w:lineRule="exact"/>
              <w:jc w:val="center"/>
              <w:rPr>
                <w:rFonts w:ascii="仿宋_GB2312" w:eastAsia="仿宋_GB2312"/>
                <w:sz w:val="28"/>
                <w:szCs w:val="28"/>
              </w:rPr>
            </w:pPr>
            <w:r>
              <w:rPr>
                <w:rFonts w:ascii="仿宋_GB2312" w:eastAsia="仿宋_GB2312" w:hint="eastAsia"/>
                <w:sz w:val="28"/>
                <w:szCs w:val="28"/>
              </w:rPr>
              <w:t>120</w:t>
            </w:r>
          </w:p>
        </w:tc>
        <w:tc>
          <w:tcPr>
            <w:tcW w:w="1516" w:type="dxa"/>
            <w:tcBorders>
              <w:top w:val="single" w:sz="4" w:space="0" w:color="auto"/>
              <w:left w:val="single" w:sz="4" w:space="0" w:color="auto"/>
              <w:bottom w:val="single" w:sz="4" w:space="0" w:color="auto"/>
              <w:right w:val="single" w:sz="4" w:space="0" w:color="auto"/>
            </w:tcBorders>
            <w:vAlign w:val="center"/>
          </w:tcPr>
          <w:p w:rsidR="005770EA" w:rsidRDefault="005770EA" w:rsidP="003142F0">
            <w:pPr>
              <w:spacing w:line="500" w:lineRule="exact"/>
              <w:jc w:val="center"/>
              <w:rPr>
                <w:rFonts w:ascii="仿宋_GB2312" w:eastAsia="仿宋_GB2312"/>
                <w:sz w:val="28"/>
                <w:szCs w:val="28"/>
              </w:rPr>
            </w:pPr>
            <w:r>
              <w:rPr>
                <w:rFonts w:ascii="仿宋_GB2312" w:eastAsia="仿宋_GB2312" w:hint="eastAsia"/>
                <w:sz w:val="28"/>
                <w:szCs w:val="28"/>
              </w:rPr>
              <w:t>30</w:t>
            </w:r>
          </w:p>
        </w:tc>
        <w:tc>
          <w:tcPr>
            <w:tcW w:w="2144" w:type="dxa"/>
            <w:tcBorders>
              <w:top w:val="single" w:sz="4" w:space="0" w:color="auto"/>
              <w:left w:val="single" w:sz="4" w:space="0" w:color="auto"/>
              <w:bottom w:val="single" w:sz="4" w:space="0" w:color="auto"/>
              <w:right w:val="single" w:sz="4" w:space="0" w:color="auto"/>
            </w:tcBorders>
            <w:vAlign w:val="center"/>
          </w:tcPr>
          <w:p w:rsidR="005770EA" w:rsidRDefault="005770EA" w:rsidP="003142F0">
            <w:pPr>
              <w:spacing w:line="500" w:lineRule="exact"/>
              <w:jc w:val="center"/>
              <w:rPr>
                <w:rFonts w:ascii="仿宋_GB2312" w:eastAsia="仿宋_GB2312"/>
                <w:sz w:val="28"/>
                <w:szCs w:val="28"/>
              </w:rPr>
            </w:pPr>
            <w:r>
              <w:rPr>
                <w:rFonts w:ascii="仿宋_GB2312" w:eastAsia="仿宋_GB2312" w:hint="eastAsia"/>
                <w:sz w:val="28"/>
                <w:szCs w:val="28"/>
              </w:rPr>
              <w:t>20</w:t>
            </w:r>
          </w:p>
        </w:tc>
        <w:tc>
          <w:tcPr>
            <w:tcW w:w="1260" w:type="dxa"/>
            <w:tcBorders>
              <w:top w:val="single" w:sz="4" w:space="0" w:color="auto"/>
              <w:left w:val="single" w:sz="4" w:space="0" w:color="auto"/>
              <w:bottom w:val="single" w:sz="4" w:space="0" w:color="auto"/>
              <w:right w:val="single" w:sz="4" w:space="0" w:color="auto"/>
            </w:tcBorders>
            <w:vAlign w:val="center"/>
          </w:tcPr>
          <w:p w:rsidR="005770EA" w:rsidRDefault="005770EA" w:rsidP="003142F0">
            <w:pPr>
              <w:spacing w:line="500" w:lineRule="exact"/>
              <w:jc w:val="center"/>
              <w:rPr>
                <w:rFonts w:ascii="仿宋_GB2312" w:eastAsia="仿宋_GB2312"/>
                <w:sz w:val="28"/>
                <w:szCs w:val="28"/>
              </w:rPr>
            </w:pPr>
            <w:r>
              <w:rPr>
                <w:rFonts w:ascii="仿宋_GB2312" w:eastAsia="仿宋_GB2312" w:hint="eastAsia"/>
                <w:sz w:val="28"/>
                <w:szCs w:val="28"/>
              </w:rPr>
              <w:t>400</w:t>
            </w:r>
          </w:p>
        </w:tc>
      </w:tr>
    </w:tbl>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综合定额标准是相关费用开支的上限。各单位应在综合定额标准以内结算报销。</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lastRenderedPageBreak/>
        <w:t>30天以内的培训按照综合定额标准控制，超过30天的培训，超过天数按照综合定额标准的70%控制。上述天数含报到撤离时间，报到和撤离时间分别不得超过1天。</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第九条师资费在综合定额标准外单独核算。</w:t>
      </w:r>
    </w:p>
    <w:p w:rsidR="005770EA" w:rsidRPr="00B94509" w:rsidRDefault="005770EA" w:rsidP="005770EA">
      <w:pPr>
        <w:pStyle w:val="a4"/>
        <w:spacing w:line="440" w:lineRule="exact"/>
        <w:ind w:firstLineChars="150" w:firstLine="480"/>
        <w:rPr>
          <w:rFonts w:ascii="仿宋_GB2312" w:eastAsia="仿宋_GB2312"/>
          <w:sz w:val="32"/>
          <w:szCs w:val="32"/>
        </w:rPr>
      </w:pPr>
      <w:r>
        <w:rPr>
          <w:rFonts w:ascii="仿宋_GB2312" w:eastAsia="仿宋_GB2312" w:hint="eastAsia"/>
          <w:sz w:val="32"/>
          <w:szCs w:val="32"/>
        </w:rPr>
        <w:t>（一）</w:t>
      </w:r>
      <w:r w:rsidRPr="00B94509">
        <w:rPr>
          <w:rFonts w:ascii="仿宋_GB2312" w:eastAsia="仿宋_GB2312" w:hint="eastAsia"/>
          <w:sz w:val="32"/>
          <w:szCs w:val="32"/>
        </w:rPr>
        <w:t>讲课费（税后）执行以下标准：副高级技术职称专业人员每学时最高不超过500元，正高级技术职称专业人员每学时最高不超过1000元，院士、全国知名专家每学时一般不超过1500元。</w:t>
      </w:r>
    </w:p>
    <w:p w:rsidR="005770EA" w:rsidRDefault="005770EA" w:rsidP="005770EA">
      <w:pPr>
        <w:spacing w:line="440" w:lineRule="exact"/>
        <w:ind w:firstLine="645"/>
        <w:rPr>
          <w:rFonts w:ascii="仿宋_GB2312" w:eastAsia="仿宋_GB2312"/>
          <w:sz w:val="32"/>
          <w:szCs w:val="32"/>
        </w:rPr>
      </w:pPr>
      <w:r w:rsidRPr="00B94509">
        <w:rPr>
          <w:rFonts w:ascii="仿宋_GB2312" w:eastAsia="仿宋_GB2312" w:hint="eastAsia"/>
          <w:sz w:val="32"/>
          <w:szCs w:val="32"/>
        </w:rPr>
        <w:t>讲课费</w:t>
      </w:r>
      <w:r>
        <w:rPr>
          <w:rFonts w:ascii="仿宋_GB2312" w:eastAsia="仿宋_GB2312" w:hint="eastAsia"/>
          <w:sz w:val="32"/>
          <w:szCs w:val="32"/>
        </w:rPr>
        <w:t>按实际发生的学时计算，每半天最多按4学时计算。</w:t>
      </w:r>
    </w:p>
    <w:p w:rsidR="005770EA" w:rsidRDefault="005770EA" w:rsidP="005770EA">
      <w:pPr>
        <w:spacing w:line="440" w:lineRule="exact"/>
        <w:ind w:firstLine="645"/>
        <w:rPr>
          <w:rFonts w:ascii="仿宋_GB2312" w:eastAsia="仿宋_GB2312"/>
          <w:sz w:val="32"/>
          <w:szCs w:val="32"/>
        </w:rPr>
      </w:pPr>
      <w:r>
        <w:rPr>
          <w:rFonts w:ascii="仿宋_GB2312" w:eastAsia="仿宋_GB2312" w:hint="eastAsia"/>
          <w:sz w:val="32"/>
          <w:szCs w:val="32"/>
        </w:rPr>
        <w:t>其他人员</w:t>
      </w:r>
      <w:r w:rsidRPr="00B94509">
        <w:rPr>
          <w:rFonts w:ascii="仿宋_GB2312" w:eastAsia="仿宋_GB2312" w:hint="eastAsia"/>
          <w:sz w:val="32"/>
          <w:szCs w:val="32"/>
        </w:rPr>
        <w:t>讲课费</w:t>
      </w:r>
      <w:r>
        <w:rPr>
          <w:rFonts w:ascii="仿宋_GB2312" w:eastAsia="仿宋_GB2312" w:hint="eastAsia"/>
          <w:sz w:val="32"/>
          <w:szCs w:val="32"/>
        </w:rPr>
        <w:t>参照上述标准执行。</w:t>
      </w:r>
    </w:p>
    <w:p w:rsidR="005770EA" w:rsidRPr="001934DF" w:rsidRDefault="005770EA" w:rsidP="005770EA">
      <w:pPr>
        <w:spacing w:line="440" w:lineRule="exact"/>
        <w:ind w:firstLine="645"/>
        <w:rPr>
          <w:rFonts w:ascii="仿宋_GB2312" w:eastAsia="仿宋_GB2312"/>
          <w:sz w:val="32"/>
          <w:szCs w:val="32"/>
        </w:rPr>
      </w:pPr>
      <w:r>
        <w:rPr>
          <w:rFonts w:ascii="仿宋_GB2312" w:eastAsia="仿宋_GB2312" w:hint="eastAsia"/>
          <w:sz w:val="32"/>
          <w:szCs w:val="32"/>
        </w:rPr>
        <w:t>同时为多班次一并授课的，不重复计算</w:t>
      </w:r>
      <w:r w:rsidRPr="00B94509">
        <w:rPr>
          <w:rFonts w:ascii="仿宋_GB2312" w:eastAsia="仿宋_GB2312" w:hint="eastAsia"/>
          <w:sz w:val="32"/>
          <w:szCs w:val="32"/>
        </w:rPr>
        <w:t>讲课费</w:t>
      </w:r>
      <w:r>
        <w:rPr>
          <w:rFonts w:ascii="仿宋_GB2312" w:eastAsia="仿宋_GB2312" w:hint="eastAsia"/>
          <w:sz w:val="32"/>
          <w:szCs w:val="32"/>
        </w:rPr>
        <w:t>。</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（二）授课老师的城市间交通费、住宿费按照柳州市本级差旅费有关规定和标准执行，伙食费按照本办法标准执行，原则上由培训举办单位承担。</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（三）培训工作确有需要从异地（含境外）邀请授课老师，路途时间较长的，经单位主要负责同志书面批准，</w:t>
      </w:r>
      <w:r w:rsidRPr="00B94509">
        <w:rPr>
          <w:rFonts w:ascii="仿宋_GB2312" w:eastAsia="仿宋_GB2312" w:hint="eastAsia"/>
          <w:sz w:val="32"/>
          <w:szCs w:val="32"/>
        </w:rPr>
        <w:t>讲课费</w:t>
      </w:r>
      <w:r>
        <w:rPr>
          <w:rFonts w:ascii="仿宋_GB2312" w:eastAsia="仿宋_GB2312" w:hint="eastAsia"/>
          <w:sz w:val="32"/>
          <w:szCs w:val="32"/>
        </w:rPr>
        <w:t>可以适当增加，但是最高不得超过同类标准的30%。</w:t>
      </w:r>
    </w:p>
    <w:p w:rsidR="005770EA" w:rsidRDefault="005770EA" w:rsidP="005770EA">
      <w:pPr>
        <w:adjustRightInd w:val="0"/>
        <w:spacing w:line="440" w:lineRule="exact"/>
        <w:ind w:firstLineChars="200" w:firstLine="643"/>
        <w:jc w:val="center"/>
        <w:rPr>
          <w:rFonts w:ascii="仿宋_GB2312" w:eastAsia="仿宋_GB2312"/>
          <w:b/>
          <w:sz w:val="32"/>
          <w:szCs w:val="32"/>
        </w:rPr>
      </w:pPr>
      <w:r>
        <w:rPr>
          <w:rFonts w:ascii="仿宋_GB2312" w:eastAsia="仿宋_GB2312" w:hint="eastAsia"/>
          <w:b/>
          <w:sz w:val="32"/>
          <w:szCs w:val="32"/>
        </w:rPr>
        <w:t>第四章  培训组织</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第十条 培训实行市和县（城区）级分级管理，各单位举办培训，原则上不得下延至乡（镇）及以下。</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第十一条 各单位开展培训，应当在开支范围和标准内优先选择党校、行政学院、干部学院以及组织人事部门认可的其他培训机构承办。</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第十二条 组织培训的工作人员控制在参训人员数量的10%以内，最多不超过10人。</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第十三条 严禁借培训名义安排公款旅游；严禁借培训名义组织会餐或安排宴请；严禁组织高消费娱乐、健身活动；严禁使用培训费购置电脑、复印机、打印机、传真机等固定资产以及开支与培训无关的其他费用；严禁在培训费中列支公务接待费、会议费；严禁套取培训费设立“小金库”。</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培训住宿不得安排高档套房，不得额外配发洗漱用品；培训用餐不得上高档菜肴，不得提供烟酒；除必要的、列入培训计划的教学外，7日以内的培训不得组织调研、考察、参观。</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第十四条 邀请境外师资讲课，必须严格按照有关外事管理规定，履行审批手续。境内师资能够满足培训需要的，不得邀请境外师资。</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第十五条 培训举办单位应当注重教学设计和质量评估，通过需求调研、课程设计和开发、专家论证、评估反馈等环节，推进培训工作科学化、精准化；注重应用大数据、“互联网+”等现代信息化技术手段开展培训和管理。所需费用纳入部门预算予以保障。</w:t>
      </w:r>
    </w:p>
    <w:p w:rsidR="005770EA" w:rsidRDefault="005770EA" w:rsidP="005770EA">
      <w:pPr>
        <w:spacing w:line="440" w:lineRule="exact"/>
        <w:jc w:val="center"/>
        <w:rPr>
          <w:rFonts w:ascii="仿宋_GB2312" w:eastAsia="仿宋_GB2312"/>
          <w:b/>
          <w:sz w:val="32"/>
          <w:szCs w:val="32"/>
        </w:rPr>
      </w:pPr>
      <w:r>
        <w:rPr>
          <w:rFonts w:ascii="仿宋_GB2312" w:eastAsia="仿宋_GB2312" w:hint="eastAsia"/>
          <w:b/>
          <w:sz w:val="32"/>
          <w:szCs w:val="32"/>
        </w:rPr>
        <w:t>第五章  报销结算</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十六条报销培训费，综合定额范围内的，应当提供培训计划审批文件、培训通知、实际参训人员签到表以及培训机构出具的收款票据、费用明细等凭证；师资费范围内的，应当提供讲课费签收单或合同，异地授课的住宿费、伙食费、城市间交通费按照差旅费报销办法提供相关凭据；执行中经</w:t>
      </w:r>
      <w:r>
        <w:rPr>
          <w:rFonts w:ascii="仿宋_GB2312" w:eastAsia="仿宋_GB2312" w:hAnsi="仿宋" w:hint="eastAsia"/>
          <w:sz w:val="32"/>
          <w:szCs w:val="32"/>
          <w:shd w:val="clear" w:color="auto" w:fill="FFFFFF"/>
        </w:rPr>
        <w:t>单位主要负责同志</w:t>
      </w:r>
      <w:r>
        <w:rPr>
          <w:rFonts w:ascii="仿宋_GB2312" w:eastAsia="仿宋_GB2312" w:hint="eastAsia"/>
          <w:sz w:val="32"/>
          <w:szCs w:val="32"/>
        </w:rPr>
        <w:t>批准临时增加的培训项目，还应该提供</w:t>
      </w:r>
      <w:r>
        <w:rPr>
          <w:rFonts w:ascii="仿宋_GB2312" w:eastAsia="仿宋_GB2312" w:hAnsi="仿宋" w:hint="eastAsia"/>
          <w:sz w:val="32"/>
          <w:szCs w:val="32"/>
          <w:shd w:val="clear" w:color="auto" w:fill="FFFFFF"/>
        </w:rPr>
        <w:t>单位主要负责同志审批</w:t>
      </w:r>
      <w:r>
        <w:rPr>
          <w:rFonts w:ascii="仿宋_GB2312" w:eastAsia="仿宋_GB2312" w:hint="eastAsia"/>
          <w:sz w:val="32"/>
          <w:szCs w:val="32"/>
        </w:rPr>
        <w:t>材料。</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各单位财务部门应当严格按照规定审核培训费开支，对未履行审批备案程序的培训，以及超范围、超标准开支的费用不予报销。</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第十七条 小额零星开支以外的培训费用应当执行国库集中支付和公务卡管理的有关制度规定，采用银行转账或公务卡方式结算，不得以现金方式支付。</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第十八条培训费由培训举办单位承担，不得向参训者收取任何费用。</w:t>
      </w:r>
    </w:p>
    <w:p w:rsidR="005770EA" w:rsidRDefault="005770EA" w:rsidP="005770EA">
      <w:pPr>
        <w:spacing w:line="440" w:lineRule="exact"/>
        <w:jc w:val="center"/>
        <w:rPr>
          <w:rFonts w:ascii="仿宋_GB2312" w:eastAsia="仿宋_GB2312"/>
          <w:b/>
          <w:sz w:val="32"/>
          <w:szCs w:val="32"/>
        </w:rPr>
      </w:pPr>
      <w:r>
        <w:rPr>
          <w:rFonts w:ascii="仿宋_GB2312" w:eastAsia="仿宋_GB2312" w:hint="eastAsia"/>
          <w:b/>
          <w:sz w:val="32"/>
          <w:szCs w:val="32"/>
        </w:rPr>
        <w:t>第六章  监督检查</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第十九条各单位应当将非涉密培训的项目、内容、人数、经费等情况，以适当方式公开。</w:t>
      </w:r>
    </w:p>
    <w:p w:rsidR="005770EA" w:rsidRDefault="005770EA" w:rsidP="005770EA">
      <w:pPr>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十条各单位应当于每年1月15日底前将上年度培训计划执行情况（包括培训名称、对象、内容、时间、地点、参训人数、工作人员数、经费开支及列支渠道、培训成效、问题建议等）报送市委组织部、市人力资源和社会保障局，市财政局。</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第二十一条 市委组织部、</w:t>
      </w:r>
      <w:r>
        <w:rPr>
          <w:rFonts w:ascii="仿宋_GB2312" w:eastAsia="仿宋_GB2312" w:hAnsi="宋体" w:hint="eastAsia"/>
          <w:sz w:val="32"/>
          <w:szCs w:val="32"/>
        </w:rPr>
        <w:t>市人力资源和社会保障局</w:t>
      </w:r>
      <w:r>
        <w:rPr>
          <w:rFonts w:ascii="仿宋_GB2312" w:eastAsia="仿宋_GB2312" w:hint="eastAsia"/>
          <w:sz w:val="32"/>
          <w:szCs w:val="32"/>
        </w:rPr>
        <w:t>、市财政局等有关部门对各单位培训活动和培训费管理使用情况进行监督检查，重点对赴区外办班有关情况进行监督检查。主要内容包括：</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（一）培训计划的编报是否符合规定；</w:t>
      </w:r>
    </w:p>
    <w:p w:rsidR="005770EA" w:rsidRDefault="005770EA" w:rsidP="005770EA">
      <w:pPr>
        <w:spacing w:line="440" w:lineRule="exact"/>
        <w:ind w:leftChars="304" w:left="798" w:hangingChars="50" w:hanging="160"/>
        <w:rPr>
          <w:rFonts w:ascii="仿宋_GB2312" w:eastAsia="仿宋_GB2312"/>
          <w:sz w:val="32"/>
          <w:szCs w:val="32"/>
        </w:rPr>
      </w:pPr>
      <w:r>
        <w:rPr>
          <w:rFonts w:ascii="仿宋_GB2312" w:eastAsia="仿宋_GB2312" w:hint="eastAsia"/>
          <w:sz w:val="32"/>
          <w:szCs w:val="32"/>
        </w:rPr>
        <w:t>（二）临时增加培训计划是否报单位主要负责同志</w:t>
      </w:r>
    </w:p>
    <w:p w:rsidR="005770EA" w:rsidRDefault="005770EA" w:rsidP="005770EA">
      <w:pPr>
        <w:spacing w:line="440" w:lineRule="exact"/>
        <w:ind w:leftChars="304" w:left="798" w:hangingChars="50" w:hanging="160"/>
        <w:rPr>
          <w:rFonts w:ascii="仿宋_GB2312" w:eastAsia="仿宋_GB2312"/>
          <w:sz w:val="32"/>
          <w:szCs w:val="32"/>
        </w:rPr>
      </w:pPr>
      <w:r>
        <w:rPr>
          <w:rFonts w:ascii="仿宋_GB2312" w:eastAsia="仿宋_GB2312" w:hint="eastAsia"/>
          <w:sz w:val="32"/>
          <w:szCs w:val="32"/>
        </w:rPr>
        <w:t>（三）培训费开支范围和开支标准是否符合规定；</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（四）培训费报销和支付是否符合规定；</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（五）是否存在虚报培训费用的行为；</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（六）是否存在转嫁、摊派培训费用的行为；</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（七）是否存在向参训人员乱收费的行为；</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（八）是否存在奢侈浪费现象；</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（九）是否存在其他违反本办法的行为。</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第二十二条对于检查中发现的违反本办法的行为，由市委组织部、</w:t>
      </w:r>
      <w:r>
        <w:rPr>
          <w:rFonts w:ascii="仿宋_GB2312" w:eastAsia="仿宋_GB2312" w:hAnsi="宋体" w:hint="eastAsia"/>
          <w:sz w:val="32"/>
          <w:szCs w:val="32"/>
        </w:rPr>
        <w:t>市人力资源和社会保障局</w:t>
      </w:r>
      <w:r>
        <w:rPr>
          <w:rFonts w:ascii="仿宋_GB2312" w:eastAsia="仿宋_GB2312" w:hint="eastAsia"/>
          <w:sz w:val="32"/>
          <w:szCs w:val="32"/>
        </w:rPr>
        <w:t>、市财政局等有关部门责令改正，追回资金，并予以通报；对相关责任人员，按规定予以党纪政务处分；涉嫌违法的，移交司法机关处理。</w:t>
      </w:r>
    </w:p>
    <w:p w:rsidR="005770EA" w:rsidRDefault="005770EA" w:rsidP="005770EA">
      <w:pPr>
        <w:spacing w:line="440" w:lineRule="exact"/>
        <w:jc w:val="center"/>
        <w:rPr>
          <w:rFonts w:ascii="仿宋_GB2312" w:eastAsia="仿宋_GB2312"/>
          <w:b/>
          <w:sz w:val="32"/>
          <w:szCs w:val="32"/>
        </w:rPr>
      </w:pPr>
      <w:r>
        <w:rPr>
          <w:rFonts w:ascii="仿宋_GB2312" w:eastAsia="仿宋_GB2312" w:hint="eastAsia"/>
          <w:b/>
          <w:sz w:val="32"/>
          <w:szCs w:val="32"/>
        </w:rPr>
        <w:t>第七章  附则</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第二十三条 各单位可以按照本办法，结合本单位业务特点和工作实际，制定培训费管理具体规定。</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第二十四条市委组织部、</w:t>
      </w:r>
      <w:r>
        <w:rPr>
          <w:rFonts w:ascii="仿宋_GB2312" w:eastAsia="仿宋_GB2312" w:hAnsi="宋体" w:hint="eastAsia"/>
          <w:sz w:val="32"/>
          <w:szCs w:val="32"/>
        </w:rPr>
        <w:t>市人力资源和社会保障局</w:t>
      </w:r>
      <w:r>
        <w:rPr>
          <w:rFonts w:ascii="仿宋_GB2312" w:eastAsia="仿宋_GB2312" w:hint="eastAsia"/>
          <w:sz w:val="32"/>
          <w:szCs w:val="32"/>
        </w:rPr>
        <w:t>组织的调训和统一培训，有关部门组织的援外培训，不适用本办法，按有关规定执行。</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二十五条市本级非参公事业单位培训费管理参照本办法执行。培训费按常驻地实行属地管理政策，市垂管部门、市直机关非驻柳单位参照所在地培训费管理办法执行。市本级一级预算单位应当强化对所属预算单位的监督检查，督促所属各单位加强对本单位培训活动和经费报销的内控管理，发现问题应及时处理，重大问题向市财政局报告。</w:t>
      </w:r>
    </w:p>
    <w:p w:rsidR="005770EA" w:rsidRDefault="005770EA" w:rsidP="005770EA">
      <w:pPr>
        <w:spacing w:line="440" w:lineRule="exact"/>
        <w:ind w:firstLineChars="200" w:firstLine="640"/>
        <w:rPr>
          <w:rFonts w:ascii="仿宋_GB2312" w:eastAsia="仿宋_GB2312"/>
          <w:sz w:val="32"/>
          <w:szCs w:val="32"/>
        </w:rPr>
      </w:pPr>
      <w:r>
        <w:rPr>
          <w:rFonts w:ascii="仿宋_GB2312" w:eastAsia="仿宋_GB2312" w:hint="eastAsia"/>
          <w:sz w:val="32"/>
          <w:szCs w:val="32"/>
        </w:rPr>
        <w:t>第二十六条本办法由市财政局会同市委组织部、</w:t>
      </w:r>
      <w:r>
        <w:rPr>
          <w:rFonts w:ascii="仿宋_GB2312" w:eastAsia="仿宋_GB2312" w:hAnsi="宋体" w:hint="eastAsia"/>
          <w:sz w:val="32"/>
          <w:szCs w:val="32"/>
        </w:rPr>
        <w:t>市人力资源和社会保障局</w:t>
      </w:r>
      <w:r>
        <w:rPr>
          <w:rFonts w:ascii="仿宋_GB2312" w:eastAsia="仿宋_GB2312" w:hint="eastAsia"/>
          <w:sz w:val="32"/>
          <w:szCs w:val="32"/>
        </w:rPr>
        <w:t>负责解释。</w:t>
      </w:r>
    </w:p>
    <w:p w:rsidR="00A200E0" w:rsidRDefault="005770EA" w:rsidP="00A200E0">
      <w:pPr>
        <w:spacing w:line="440" w:lineRule="exact"/>
        <w:ind w:firstLineChars="200" w:firstLine="640"/>
        <w:rPr>
          <w:rFonts w:ascii="仿宋_GB2312" w:eastAsia="仿宋_GB2312"/>
          <w:sz w:val="32"/>
          <w:szCs w:val="32"/>
        </w:rPr>
      </w:pPr>
      <w:r>
        <w:rPr>
          <w:rFonts w:ascii="仿宋_GB2312" w:eastAsia="仿宋_GB2312" w:hint="eastAsia"/>
          <w:sz w:val="32"/>
          <w:szCs w:val="32"/>
        </w:rPr>
        <w:t>第二十七条本办法自</w:t>
      </w:r>
      <w:r w:rsidR="00C602EC">
        <w:rPr>
          <w:rFonts w:ascii="仿宋_GB2312" w:eastAsia="仿宋_GB2312" w:hint="eastAsia"/>
          <w:sz w:val="32"/>
          <w:szCs w:val="32"/>
        </w:rPr>
        <w:t>2018</w:t>
      </w:r>
      <w:r>
        <w:rPr>
          <w:rFonts w:ascii="仿宋_GB2312" w:eastAsia="仿宋_GB2312" w:hint="eastAsia"/>
          <w:sz w:val="32"/>
          <w:szCs w:val="32"/>
        </w:rPr>
        <w:t>年</w:t>
      </w:r>
      <w:r w:rsidR="00C602EC">
        <w:rPr>
          <w:rFonts w:ascii="仿宋_GB2312" w:eastAsia="仿宋_GB2312" w:hint="eastAsia"/>
          <w:sz w:val="32"/>
          <w:szCs w:val="32"/>
        </w:rPr>
        <w:t>6</w:t>
      </w:r>
      <w:r>
        <w:rPr>
          <w:rFonts w:ascii="仿宋_GB2312" w:eastAsia="仿宋_GB2312" w:hint="eastAsia"/>
          <w:sz w:val="32"/>
          <w:szCs w:val="32"/>
        </w:rPr>
        <w:t>月</w:t>
      </w:r>
      <w:r w:rsidR="00C602EC">
        <w:rPr>
          <w:rFonts w:ascii="仿宋_GB2312" w:eastAsia="仿宋_GB2312" w:hint="eastAsia"/>
          <w:sz w:val="32"/>
          <w:szCs w:val="32"/>
        </w:rPr>
        <w:t>1</w:t>
      </w:r>
      <w:r>
        <w:rPr>
          <w:rFonts w:ascii="仿宋_GB2312" w:eastAsia="仿宋_GB2312" w:hint="eastAsia"/>
          <w:sz w:val="32"/>
          <w:szCs w:val="32"/>
        </w:rPr>
        <w:t>日起施行。</w:t>
      </w:r>
      <w:r w:rsidR="00A200E0">
        <w:rPr>
          <w:rFonts w:ascii="仿宋_GB2312" w:eastAsia="仿宋_GB2312" w:hint="eastAsia"/>
          <w:sz w:val="32"/>
          <w:szCs w:val="32"/>
        </w:rPr>
        <w:t>《</w:t>
      </w:r>
      <w:r w:rsidR="00A200E0">
        <w:rPr>
          <w:rFonts w:ascii="Calibri" w:hAnsi="Calibri" w:cs="Times New Roman" w:hint="eastAsia"/>
          <w:sz w:val="28"/>
          <w:szCs w:val="28"/>
        </w:rPr>
        <w:t>柳州市本级培训费管理办法》（柳财行【</w:t>
      </w:r>
      <w:r w:rsidR="00A200E0">
        <w:rPr>
          <w:rFonts w:ascii="Calibri" w:hAnsi="Calibri" w:cs="Times New Roman" w:hint="eastAsia"/>
          <w:sz w:val="28"/>
          <w:szCs w:val="28"/>
        </w:rPr>
        <w:t>2014</w:t>
      </w:r>
      <w:r w:rsidR="00A200E0">
        <w:rPr>
          <w:rFonts w:ascii="Calibri" w:hAnsi="Calibri" w:cs="Times New Roman" w:hint="eastAsia"/>
          <w:sz w:val="28"/>
          <w:szCs w:val="28"/>
        </w:rPr>
        <w:t>】</w:t>
      </w:r>
      <w:r w:rsidR="00A200E0">
        <w:rPr>
          <w:rFonts w:ascii="Calibri" w:hAnsi="Calibri" w:cs="Times New Roman" w:hint="eastAsia"/>
          <w:sz w:val="28"/>
          <w:szCs w:val="28"/>
        </w:rPr>
        <w:t>8</w:t>
      </w:r>
      <w:r w:rsidR="00A200E0">
        <w:rPr>
          <w:rFonts w:ascii="Calibri" w:hAnsi="Calibri" w:cs="Times New Roman" w:hint="eastAsia"/>
          <w:sz w:val="28"/>
          <w:szCs w:val="28"/>
        </w:rPr>
        <w:t>号）和《柳州市本级培训费管理办法补充规定》（柳财行【</w:t>
      </w:r>
      <w:r w:rsidR="00A200E0">
        <w:rPr>
          <w:rFonts w:ascii="Calibri" w:hAnsi="Calibri" w:cs="Times New Roman" w:hint="eastAsia"/>
          <w:sz w:val="28"/>
          <w:szCs w:val="28"/>
        </w:rPr>
        <w:t>2014</w:t>
      </w:r>
      <w:r w:rsidR="00A200E0">
        <w:rPr>
          <w:rFonts w:ascii="Calibri" w:hAnsi="Calibri" w:cs="Times New Roman" w:hint="eastAsia"/>
          <w:sz w:val="28"/>
          <w:szCs w:val="28"/>
        </w:rPr>
        <w:t>】</w:t>
      </w:r>
      <w:r w:rsidR="00A200E0">
        <w:rPr>
          <w:rFonts w:ascii="Calibri" w:hAnsi="Calibri" w:cs="Times New Roman" w:hint="eastAsia"/>
          <w:sz w:val="28"/>
          <w:szCs w:val="28"/>
        </w:rPr>
        <w:t>10</w:t>
      </w:r>
      <w:r w:rsidR="00A200E0">
        <w:rPr>
          <w:rFonts w:ascii="Calibri" w:hAnsi="Calibri" w:cs="Times New Roman" w:hint="eastAsia"/>
          <w:sz w:val="28"/>
          <w:szCs w:val="28"/>
        </w:rPr>
        <w:t>号）</w:t>
      </w:r>
      <w:r w:rsidR="00A200E0">
        <w:rPr>
          <w:rFonts w:hint="eastAsia"/>
          <w:sz w:val="28"/>
          <w:szCs w:val="28"/>
        </w:rPr>
        <w:t>同时废止。</w:t>
      </w:r>
    </w:p>
    <w:p w:rsidR="005770EA" w:rsidRPr="00A200E0" w:rsidRDefault="005770EA" w:rsidP="005770EA">
      <w:pPr>
        <w:spacing w:line="440" w:lineRule="exact"/>
        <w:ind w:firstLineChars="200" w:firstLine="560"/>
        <w:rPr>
          <w:rFonts w:ascii="Calibri" w:hAnsi="Calibri" w:cs="Times New Roman"/>
          <w:sz w:val="28"/>
          <w:szCs w:val="28"/>
        </w:rPr>
      </w:pPr>
    </w:p>
    <w:p w:rsidR="005770EA" w:rsidRDefault="005770EA" w:rsidP="005770EA">
      <w:pPr>
        <w:rPr>
          <w:rFonts w:ascii="仿宋_GB2312" w:eastAsia="仿宋_GB2312"/>
          <w:sz w:val="32"/>
          <w:szCs w:val="32"/>
        </w:rPr>
      </w:pPr>
    </w:p>
    <w:p w:rsidR="005770EA" w:rsidRDefault="005770EA" w:rsidP="005770EA">
      <w:pPr>
        <w:rPr>
          <w:rFonts w:ascii="仿宋_GB2312" w:eastAsia="仿宋_GB2312"/>
          <w:color w:val="000000"/>
          <w:spacing w:val="-8"/>
          <w:sz w:val="32"/>
          <w:szCs w:val="32"/>
        </w:rPr>
      </w:pPr>
      <w:r>
        <w:rPr>
          <w:rFonts w:ascii="仿宋_GB2312" w:eastAsia="仿宋_GB2312" w:hint="eastAsia"/>
          <w:spacing w:val="100"/>
          <w:sz w:val="32"/>
          <w:szCs w:val="32"/>
        </w:rPr>
        <w:t xml:space="preserve">柳州市财政局 </w:t>
      </w:r>
      <w:r w:rsidR="00A200E0">
        <w:rPr>
          <w:rFonts w:ascii="仿宋_GB2312" w:eastAsia="仿宋_GB2312" w:hint="eastAsia"/>
          <w:spacing w:val="100"/>
          <w:sz w:val="32"/>
          <w:szCs w:val="32"/>
        </w:rPr>
        <w:t xml:space="preserve">     </w:t>
      </w:r>
      <w:r>
        <w:rPr>
          <w:rFonts w:ascii="仿宋_GB2312" w:eastAsia="仿宋_GB2312" w:hint="eastAsia"/>
          <w:color w:val="000000"/>
          <w:sz w:val="32"/>
          <w:szCs w:val="32"/>
        </w:rPr>
        <w:t>中共柳州市委组织部</w:t>
      </w:r>
    </w:p>
    <w:p w:rsidR="005770EA" w:rsidRDefault="005770EA" w:rsidP="005770EA">
      <w:pPr>
        <w:rPr>
          <w:rFonts w:ascii="仿宋_GB2312" w:eastAsia="仿宋_GB2312"/>
          <w:color w:val="000000"/>
          <w:spacing w:val="-8"/>
          <w:sz w:val="32"/>
          <w:szCs w:val="32"/>
        </w:rPr>
      </w:pPr>
    </w:p>
    <w:p w:rsidR="005770EA" w:rsidRDefault="005770EA" w:rsidP="005770EA">
      <w:pPr>
        <w:rPr>
          <w:rFonts w:ascii="仿宋_GB2312" w:eastAsia="仿宋_GB2312"/>
          <w:color w:val="000000"/>
          <w:sz w:val="32"/>
          <w:szCs w:val="32"/>
        </w:rPr>
      </w:pPr>
    </w:p>
    <w:p w:rsidR="005770EA" w:rsidRDefault="005770EA" w:rsidP="005770EA">
      <w:pPr>
        <w:jc w:val="center"/>
        <w:rPr>
          <w:sz w:val="28"/>
          <w:szCs w:val="28"/>
        </w:rPr>
      </w:pPr>
      <w:r>
        <w:rPr>
          <w:rFonts w:ascii="仿宋_GB2312" w:eastAsia="仿宋_GB2312" w:hAnsi="宋体" w:hint="eastAsia"/>
          <w:color w:val="000000"/>
          <w:sz w:val="32"/>
          <w:szCs w:val="32"/>
        </w:rPr>
        <w:t>柳州市人力资源和社会保障局</w:t>
      </w:r>
    </w:p>
    <w:p w:rsidR="005770EA" w:rsidRDefault="005770EA" w:rsidP="005770EA"/>
    <w:p w:rsidR="004216F8" w:rsidRPr="005770EA" w:rsidRDefault="00D76829" w:rsidP="005770EA"/>
    <w:sectPr w:rsidR="004216F8" w:rsidRPr="005770EA" w:rsidSect="00A15B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900" w:rsidRDefault="00A07900" w:rsidP="00AA27A3">
      <w:r>
        <w:separator/>
      </w:r>
    </w:p>
  </w:endnote>
  <w:endnote w:type="continuationSeparator" w:id="1">
    <w:p w:rsidR="00A07900" w:rsidRDefault="00A07900" w:rsidP="00AA27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900" w:rsidRDefault="00A07900" w:rsidP="00AA27A3">
      <w:r>
        <w:separator/>
      </w:r>
    </w:p>
  </w:footnote>
  <w:footnote w:type="continuationSeparator" w:id="1">
    <w:p w:rsidR="00A07900" w:rsidRDefault="00A07900" w:rsidP="00AA27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revisionView w:markup="0"/>
  <w:defaultTabStop w:val="420"/>
  <w:drawingGridVerticalSpacing w:val="156"/>
  <w:displayHorizontalDrawingGridEvery w:val="0"/>
  <w:displayVerticalDrawingGridEvery w:val="2"/>
  <w:characterSpacingControl w:val="compressPunctuation"/>
  <w:hdrShapeDefaults>
    <o:shapedefaults v:ext="edit" spidmax="1126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70EA"/>
    <w:rsid w:val="0004451B"/>
    <w:rsid w:val="000A7F35"/>
    <w:rsid w:val="001A7477"/>
    <w:rsid w:val="00237815"/>
    <w:rsid w:val="004B68F0"/>
    <w:rsid w:val="005770EA"/>
    <w:rsid w:val="006E0FBE"/>
    <w:rsid w:val="00A07900"/>
    <w:rsid w:val="00A15B85"/>
    <w:rsid w:val="00A200E0"/>
    <w:rsid w:val="00A36DF1"/>
    <w:rsid w:val="00AA27A3"/>
    <w:rsid w:val="00AB510E"/>
    <w:rsid w:val="00C602EC"/>
    <w:rsid w:val="00CD5F7B"/>
    <w:rsid w:val="00D45955"/>
    <w:rsid w:val="00D768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0EA"/>
    <w:pPr>
      <w:widowControl w:val="0"/>
      <w:jc w:val="both"/>
    </w:pPr>
    <w:rPr>
      <w:rFonts w:eastAsia="宋体"/>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70EA"/>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unhideWhenUsed/>
    <w:rsid w:val="005770EA"/>
    <w:pPr>
      <w:ind w:firstLineChars="200" w:firstLine="420"/>
    </w:pPr>
  </w:style>
  <w:style w:type="paragraph" w:styleId="a5">
    <w:name w:val="header"/>
    <w:basedOn w:val="a"/>
    <w:link w:val="Char"/>
    <w:uiPriority w:val="99"/>
    <w:semiHidden/>
    <w:unhideWhenUsed/>
    <w:rsid w:val="00AA27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A27A3"/>
    <w:rPr>
      <w:rFonts w:eastAsia="宋体"/>
      <w:sz w:val="18"/>
      <w:szCs w:val="18"/>
    </w:rPr>
  </w:style>
  <w:style w:type="paragraph" w:styleId="a6">
    <w:name w:val="footer"/>
    <w:basedOn w:val="a"/>
    <w:link w:val="Char0"/>
    <w:uiPriority w:val="99"/>
    <w:semiHidden/>
    <w:unhideWhenUsed/>
    <w:rsid w:val="00AA27A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A27A3"/>
    <w:rPr>
      <w:rFonts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514</Words>
  <Characters>2936</Characters>
  <Application>Microsoft Office Word</Application>
  <DocSecurity>0</DocSecurity>
  <Lines>24</Lines>
  <Paragraphs>6</Paragraphs>
  <ScaleCrop>false</ScaleCrop>
  <Company>Sky123.Org</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韦红波</dc:creator>
  <cp:keywords/>
  <dc:description/>
  <cp:lastModifiedBy>韦红波</cp:lastModifiedBy>
  <cp:revision>8</cp:revision>
  <dcterms:created xsi:type="dcterms:W3CDTF">2018-05-15T02:12:00Z</dcterms:created>
  <dcterms:modified xsi:type="dcterms:W3CDTF">2018-06-01T08:54:00Z</dcterms:modified>
</cp:coreProperties>
</file>