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0CE8D">
      <w:pPr>
        <w:spacing w:line="560" w:lineRule="exact"/>
        <w:jc w:val="center"/>
        <w:rPr>
          <w:rFonts w:ascii="方正小标宋简体" w:hAnsi="华文仿宋" w:eastAsia="方正小标宋简体"/>
          <w:b/>
          <w:bCs/>
          <w:color w:val="auto"/>
          <w:sz w:val="44"/>
          <w:szCs w:val="44"/>
        </w:rPr>
      </w:pPr>
      <w:r>
        <w:rPr>
          <w:rFonts w:hint="eastAsia" w:ascii="方正小标宋简体" w:hAnsi="华文仿宋" w:eastAsia="方正小标宋简体"/>
          <w:b/>
          <w:bCs/>
          <w:color w:val="auto"/>
          <w:sz w:val="44"/>
          <w:szCs w:val="44"/>
        </w:rPr>
        <w:t>柳州市水果生产技术指导站</w:t>
      </w:r>
    </w:p>
    <w:p w14:paraId="4CB4EDB0">
      <w:pPr>
        <w:spacing w:line="560" w:lineRule="exact"/>
        <w:jc w:val="center"/>
        <w:rPr>
          <w:rFonts w:ascii="方正小标宋简体" w:hAnsi="华文仿宋" w:eastAsia="方正小标宋简体"/>
          <w:b/>
          <w:color w:val="auto"/>
          <w:sz w:val="44"/>
          <w:szCs w:val="44"/>
        </w:rPr>
      </w:pPr>
      <w:r>
        <w:rPr>
          <w:rFonts w:hint="eastAsia" w:ascii="方正小标宋简体" w:hAnsi="华文仿宋" w:eastAsia="方正小标宋简体"/>
          <w:b/>
          <w:color w:val="auto"/>
          <w:sz w:val="44"/>
          <w:szCs w:val="44"/>
        </w:rPr>
        <w:t>2021年预算公开说明</w:t>
      </w:r>
    </w:p>
    <w:p w14:paraId="1F03F794">
      <w:pPr>
        <w:spacing w:line="560" w:lineRule="exact"/>
        <w:jc w:val="center"/>
        <w:rPr>
          <w:rStyle w:val="8"/>
          <w:rFonts w:ascii="方正小标宋简体" w:hAnsi="华文仿宋" w:eastAsia="方正小标宋简体"/>
          <w:bCs w:val="0"/>
          <w:color w:val="auto"/>
          <w:sz w:val="44"/>
          <w:szCs w:val="44"/>
        </w:rPr>
      </w:pPr>
    </w:p>
    <w:p w14:paraId="7CDC4459">
      <w:pPr>
        <w:spacing w:line="560" w:lineRule="exact"/>
        <w:jc w:val="center"/>
        <w:rPr>
          <w:rStyle w:val="8"/>
          <w:rFonts w:ascii="方正小标宋简体" w:hAnsi="华文仿宋" w:eastAsia="方正小标宋简体"/>
          <w:bCs w:val="0"/>
          <w:color w:val="auto"/>
          <w:sz w:val="44"/>
          <w:szCs w:val="44"/>
        </w:rPr>
      </w:pPr>
      <w:r>
        <w:rPr>
          <w:rStyle w:val="8"/>
          <w:rFonts w:hint="eastAsia" w:ascii="方正小标宋简体" w:hAnsi="华文仿宋" w:eastAsia="方正小标宋简体"/>
          <w:bCs w:val="0"/>
          <w:color w:val="auto"/>
          <w:sz w:val="44"/>
          <w:szCs w:val="44"/>
        </w:rPr>
        <w:t>目 录</w:t>
      </w:r>
    </w:p>
    <w:p w14:paraId="72C7F4FC">
      <w:pPr>
        <w:adjustRightInd w:val="0"/>
        <w:snapToGrid w:val="0"/>
        <w:spacing w:line="560" w:lineRule="exact"/>
        <w:ind w:right="-218" w:rightChars="-104" w:firstLine="630" w:firstLineChars="196"/>
        <w:rPr>
          <w:rStyle w:val="8"/>
          <w:rFonts w:ascii="仿宋_GB2312" w:hAnsi="华文仿宋" w:eastAsia="仿宋_GB2312"/>
          <w:color w:val="auto"/>
          <w:sz w:val="32"/>
          <w:szCs w:val="32"/>
        </w:rPr>
      </w:pPr>
      <w:r>
        <w:rPr>
          <w:rFonts w:hint="eastAsia" w:ascii="仿宋_GB2312" w:hAnsi="华文仿宋" w:eastAsia="仿宋_GB2312"/>
          <w:b/>
          <w:bCs/>
          <w:color w:val="auto"/>
          <w:sz w:val="32"/>
          <w:szCs w:val="32"/>
        </w:rPr>
        <w:t>第一部分：</w:t>
      </w:r>
      <w:r>
        <w:rPr>
          <w:rFonts w:hint="eastAsia" w:ascii="仿宋_GB2312" w:hAnsi="华文仿宋" w:eastAsia="仿宋_GB2312"/>
          <w:b/>
          <w:color w:val="auto"/>
          <w:sz w:val="32"/>
          <w:szCs w:val="32"/>
        </w:rPr>
        <w:t>柳州市水果生产技术指导站</w:t>
      </w:r>
      <w:r>
        <w:rPr>
          <w:rStyle w:val="8"/>
          <w:rFonts w:hint="eastAsia" w:ascii="仿宋_GB2312" w:hAnsi="华文仿宋" w:eastAsia="仿宋_GB2312"/>
          <w:color w:val="auto"/>
          <w:sz w:val="32"/>
          <w:szCs w:val="32"/>
        </w:rPr>
        <w:t>概况</w:t>
      </w:r>
    </w:p>
    <w:p w14:paraId="7446AECA">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一、主要职责</w:t>
      </w:r>
    </w:p>
    <w:p w14:paraId="2090BE2A">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二、机构设置情况</w:t>
      </w:r>
    </w:p>
    <w:p w14:paraId="1F1F42C6">
      <w:pPr>
        <w:adjustRightInd w:val="0"/>
        <w:snapToGrid w:val="0"/>
        <w:spacing w:line="560" w:lineRule="exact"/>
        <w:ind w:left="1971" w:leftChars="250" w:right="-218" w:rightChars="-104" w:hanging="1446" w:hangingChars="45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第二部分：</w:t>
      </w:r>
      <w:r>
        <w:rPr>
          <w:rFonts w:hint="eastAsia" w:ascii="仿宋_GB2312" w:hAnsi="华文仿宋" w:eastAsia="仿宋_GB2312"/>
          <w:b/>
          <w:color w:val="auto"/>
          <w:sz w:val="32"/>
          <w:szCs w:val="32"/>
        </w:rPr>
        <w:t>柳州市水果生产技术指导站</w:t>
      </w:r>
      <w:r>
        <w:rPr>
          <w:rFonts w:hint="eastAsia" w:ascii="仿宋_GB2312" w:hAnsi="华文仿宋" w:eastAsia="仿宋_GB2312"/>
          <w:b/>
          <w:bCs/>
          <w:color w:val="auto"/>
          <w:sz w:val="32"/>
          <w:szCs w:val="32"/>
        </w:rPr>
        <w:t>2021年单位预算报表</w:t>
      </w:r>
    </w:p>
    <w:p w14:paraId="3540E037">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一、单位收支总体情况表（预算公开01表）</w:t>
      </w:r>
    </w:p>
    <w:p w14:paraId="124322E7">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二、单位收入总体情况表（预算公开02表）</w:t>
      </w:r>
    </w:p>
    <w:p w14:paraId="466DFDB1">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三、单位支出总体情况表（预算公开03表）</w:t>
      </w:r>
    </w:p>
    <w:p w14:paraId="6A539958">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四、财政拨款收支总体情况表（预算公开04表）</w:t>
      </w:r>
    </w:p>
    <w:p w14:paraId="0730F4E2">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五、一般公共预算支出情况表（预算公开05表）</w:t>
      </w:r>
    </w:p>
    <w:p w14:paraId="54B1BBD4">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六、一般公共预算基本支出情况表（预算公开06表）</w:t>
      </w:r>
    </w:p>
    <w:p w14:paraId="54B19793">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七、一般公共预算“三公”经费支出情况表（预算公开07表）</w:t>
      </w:r>
    </w:p>
    <w:p w14:paraId="34E1A8DF">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八、政府性基金预算支出情况表（预算公开08表）</w:t>
      </w:r>
    </w:p>
    <w:p w14:paraId="443F4B81">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九、国有资本经营预算支出情况表（预算公开09表）</w:t>
      </w:r>
    </w:p>
    <w:p w14:paraId="30674689">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十、政府采购预算表（预算公开10表）</w:t>
      </w:r>
    </w:p>
    <w:p w14:paraId="5A70C949">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十一、政府购买服务预算表（预算公开11表）</w:t>
      </w:r>
    </w:p>
    <w:p w14:paraId="7D26C50B">
      <w:pPr>
        <w:pStyle w:val="5"/>
        <w:spacing w:before="0" w:beforeAutospacing="0" w:after="0" w:afterAutospacing="0" w:line="560" w:lineRule="exact"/>
        <w:ind w:left="2026" w:leftChars="200" w:hanging="1606" w:hangingChars="5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第三部分：</w:t>
      </w:r>
      <w:r>
        <w:rPr>
          <w:rFonts w:hint="eastAsia" w:ascii="仿宋_GB2312" w:hAnsi="华文仿宋" w:eastAsia="仿宋_GB2312"/>
          <w:b/>
          <w:color w:val="auto"/>
          <w:sz w:val="32"/>
          <w:szCs w:val="32"/>
        </w:rPr>
        <w:t>柳州市水果生产技术指导站</w:t>
      </w:r>
      <w:r>
        <w:rPr>
          <w:rFonts w:hint="eastAsia" w:ascii="仿宋_GB2312" w:hAnsi="华文仿宋" w:eastAsia="仿宋_GB2312"/>
          <w:b/>
          <w:bCs/>
          <w:color w:val="auto"/>
          <w:sz w:val="32"/>
          <w:szCs w:val="32"/>
        </w:rPr>
        <w:t>2021年预算情况说明</w:t>
      </w:r>
    </w:p>
    <w:p w14:paraId="78390716">
      <w:pPr>
        <w:pStyle w:val="5"/>
        <w:spacing w:before="0" w:beforeAutospacing="0" w:after="0" w:afterAutospacing="0" w:line="560" w:lineRule="exact"/>
        <w:ind w:firstLine="321" w:firstLineChars="1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第四部分：名词解释</w:t>
      </w:r>
    </w:p>
    <w:p w14:paraId="45B9051D">
      <w:pPr>
        <w:adjustRightInd w:val="0"/>
        <w:snapToGrid w:val="0"/>
        <w:spacing w:line="560" w:lineRule="exact"/>
        <w:ind w:right="-218" w:rightChars="-104" w:firstLine="482" w:firstLineChars="150"/>
        <w:rPr>
          <w:rStyle w:val="8"/>
          <w:rFonts w:ascii="仿宋_GB2312" w:hAnsi="华文仿宋" w:eastAsia="仿宋_GB2312"/>
          <w:color w:val="auto"/>
          <w:sz w:val="32"/>
          <w:szCs w:val="32"/>
        </w:rPr>
      </w:pPr>
      <w:r>
        <w:rPr>
          <w:rStyle w:val="8"/>
          <w:rFonts w:hint="eastAsia" w:ascii="仿宋_GB2312" w:hAnsi="华文仿宋" w:eastAsia="仿宋_GB2312"/>
          <w:color w:val="auto"/>
          <w:sz w:val="32"/>
          <w:szCs w:val="32"/>
        </w:rPr>
        <w:t>第一部份：</w:t>
      </w:r>
      <w:r>
        <w:rPr>
          <w:rFonts w:hint="eastAsia" w:ascii="仿宋_GB2312" w:hAnsi="华文仿宋" w:eastAsia="仿宋_GB2312"/>
          <w:b/>
          <w:color w:val="auto"/>
          <w:sz w:val="32"/>
          <w:szCs w:val="32"/>
        </w:rPr>
        <w:t>柳州市水果生产技术指导站</w:t>
      </w:r>
      <w:r>
        <w:rPr>
          <w:rStyle w:val="8"/>
          <w:rFonts w:hint="eastAsia" w:ascii="仿宋_GB2312" w:hAnsi="华文仿宋" w:eastAsia="仿宋_GB2312"/>
          <w:color w:val="auto"/>
          <w:sz w:val="32"/>
          <w:szCs w:val="32"/>
        </w:rPr>
        <w:t>概况</w:t>
      </w:r>
    </w:p>
    <w:p w14:paraId="07CB6906">
      <w:pPr>
        <w:pStyle w:val="5"/>
        <w:spacing w:before="0" w:beforeAutospacing="0" w:after="0" w:afterAutospacing="0" w:line="560" w:lineRule="exact"/>
        <w:ind w:firstLine="643" w:firstLineChars="200"/>
        <w:jc w:val="both"/>
        <w:rPr>
          <w:rFonts w:ascii="黑体" w:hAnsi="黑体" w:eastAsia="黑体" w:cs="黑体"/>
          <w:b/>
          <w:bCs/>
          <w:color w:val="auto"/>
          <w:sz w:val="32"/>
          <w:szCs w:val="32"/>
        </w:rPr>
      </w:pPr>
      <w:r>
        <w:rPr>
          <w:rFonts w:hint="eastAsia" w:ascii="黑体" w:hAnsi="黑体" w:eastAsia="黑体" w:cs="黑体"/>
          <w:b/>
          <w:bCs/>
          <w:color w:val="auto"/>
          <w:sz w:val="32"/>
          <w:szCs w:val="32"/>
        </w:rPr>
        <w:t>一、主要职责</w:t>
      </w:r>
    </w:p>
    <w:p w14:paraId="690F0A9E">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（一）协助制订全市水果产业发展规划，开展水果产业发展有关重大课题和项目研究，为政府及有关部门决策提供科学依据。</w:t>
      </w:r>
    </w:p>
    <w:p w14:paraId="61ECC77A">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（二）开展水果新品种、新技术的研究、引进、试验、示范、推广工作。</w:t>
      </w:r>
    </w:p>
    <w:p w14:paraId="3FC6B758">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（三）负责水果生产中的产前、产中、产后技术服务。</w:t>
      </w:r>
    </w:p>
    <w:p w14:paraId="559DAABA">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（四）开展水果生产技术培训、咨询服务。</w:t>
      </w:r>
    </w:p>
    <w:p w14:paraId="3813DD40">
      <w:pPr>
        <w:spacing w:line="580" w:lineRule="exact"/>
        <w:ind w:left="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（五）完成主管部门交办的其他任务</w:t>
      </w:r>
      <w:r>
        <w:rPr>
          <w:rFonts w:hint="eastAsia" w:ascii="仿宋" w:hAnsi="仿宋" w:eastAsia="仿宋" w:cs="华文仿宋"/>
          <w:color w:val="auto"/>
          <w:sz w:val="32"/>
          <w:szCs w:val="32"/>
        </w:rPr>
        <w:t>。</w:t>
      </w:r>
    </w:p>
    <w:p w14:paraId="7FBD9BCA">
      <w:pPr>
        <w:pStyle w:val="5"/>
        <w:spacing w:before="0" w:beforeAutospacing="0" w:after="0" w:afterAutospacing="0" w:line="560" w:lineRule="exact"/>
        <w:ind w:firstLine="643" w:firstLineChars="200"/>
        <w:jc w:val="both"/>
        <w:rPr>
          <w:rFonts w:ascii="黑体" w:hAnsi="黑体" w:eastAsia="黑体" w:cs="黑体"/>
          <w:b/>
          <w:bCs/>
          <w:color w:val="auto"/>
          <w:sz w:val="32"/>
          <w:szCs w:val="32"/>
        </w:rPr>
      </w:pPr>
      <w:r>
        <w:rPr>
          <w:rFonts w:hint="eastAsia" w:ascii="黑体" w:hAnsi="黑体" w:eastAsia="黑体" w:cs="黑体"/>
          <w:b/>
          <w:bCs/>
          <w:color w:val="auto"/>
          <w:sz w:val="32"/>
          <w:szCs w:val="32"/>
        </w:rPr>
        <w:t>二、机构设置情况</w:t>
      </w:r>
    </w:p>
    <w:p w14:paraId="218114C5">
      <w:pPr>
        <w:adjustRightInd w:val="0"/>
        <w:snapToGrid w:val="0"/>
        <w:spacing w:line="560" w:lineRule="exact"/>
        <w:ind w:right="-218" w:rightChars="-104"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柳州市水果生产技术指导站为市农业农村局管理的正科级公益一类事业单位。</w:t>
      </w:r>
    </w:p>
    <w:p w14:paraId="7356F74F">
      <w:pPr>
        <w:adjustRightInd w:val="0"/>
        <w:snapToGrid w:val="0"/>
        <w:spacing w:line="560" w:lineRule="exact"/>
        <w:ind w:right="-218" w:rightChars="-104" w:firstLine="640" w:firstLineChars="200"/>
        <w:rPr>
          <w:rFonts w:ascii="仿宋_GB2312" w:hAnsi="华文仿宋" w:eastAsia="仿宋_GB2312"/>
          <w:color w:val="auto"/>
          <w:sz w:val="32"/>
          <w:szCs w:val="32"/>
        </w:rPr>
      </w:pPr>
    </w:p>
    <w:p w14:paraId="1CD0F12C">
      <w:pPr>
        <w:pStyle w:val="5"/>
        <w:spacing w:before="0" w:beforeAutospacing="0" w:after="0" w:afterAutospacing="0" w:line="560" w:lineRule="exact"/>
        <w:ind w:left="2558" w:leftChars="300" w:hanging="1928" w:hangingChars="6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第二部分：</w:t>
      </w:r>
      <w:r>
        <w:rPr>
          <w:rFonts w:hint="eastAsia" w:ascii="仿宋_GB2312" w:hAnsi="华文仿宋" w:eastAsia="仿宋_GB2312"/>
          <w:b/>
          <w:color w:val="auto"/>
          <w:sz w:val="32"/>
          <w:szCs w:val="32"/>
        </w:rPr>
        <w:t>柳州市水果生产技术指导站</w:t>
      </w:r>
      <w:r>
        <w:rPr>
          <w:rFonts w:hint="eastAsia" w:ascii="仿宋_GB2312" w:hAnsi="华文仿宋" w:eastAsia="仿宋_GB2312"/>
          <w:b/>
          <w:bCs/>
          <w:color w:val="auto"/>
          <w:sz w:val="32"/>
          <w:szCs w:val="32"/>
        </w:rPr>
        <w:t>2021年单位预算报表</w:t>
      </w:r>
    </w:p>
    <w:p w14:paraId="46963808">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一、单位收支总体情况表（预算公开01表）</w:t>
      </w:r>
    </w:p>
    <w:p w14:paraId="3B072CDF">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二、单位收入总体情况表（预算公开02表）</w:t>
      </w:r>
    </w:p>
    <w:p w14:paraId="251B1C62">
      <w:pPr>
        <w:pStyle w:val="5"/>
        <w:spacing w:before="0" w:beforeAutospacing="0" w:after="0" w:afterAutospacing="0" w:line="560" w:lineRule="exact"/>
        <w:ind w:firstLine="640" w:firstLineChars="200"/>
        <w:rPr>
          <w:rFonts w:ascii="仿宋_GB2312" w:hAnsi="华文仿宋" w:eastAsia="仿宋_GB2312"/>
          <w:b/>
          <w:bCs/>
          <w:color w:val="auto"/>
          <w:sz w:val="32"/>
          <w:szCs w:val="32"/>
        </w:rPr>
      </w:pPr>
      <w:r>
        <w:rPr>
          <w:rFonts w:hint="eastAsia" w:ascii="仿宋_GB2312" w:hAnsi="华文仿宋" w:eastAsia="仿宋_GB2312"/>
          <w:bCs/>
          <w:color w:val="auto"/>
          <w:sz w:val="32"/>
          <w:szCs w:val="32"/>
        </w:rPr>
        <w:t>三、单位支出总体情况表（预算公开03表）</w:t>
      </w:r>
    </w:p>
    <w:p w14:paraId="5952A5C0">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四、财政拨款收支总体情况表（预算公开04表）</w:t>
      </w:r>
    </w:p>
    <w:p w14:paraId="5C339F8D">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五、一般公共预算支出情况表（预算公开05表）</w:t>
      </w:r>
    </w:p>
    <w:p w14:paraId="20A9DC10">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六、一般公共预算基本支出情况表（预算公开06表）</w:t>
      </w:r>
    </w:p>
    <w:p w14:paraId="2540623C">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七、一般公共预算“三公”经费支出情况表（预算公开07表）</w:t>
      </w:r>
    </w:p>
    <w:p w14:paraId="2AC5AECC">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八、政府性基金预算支出情况表（预算公开08表）</w:t>
      </w:r>
    </w:p>
    <w:p w14:paraId="50209EA5">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九、国有资本经营预算支出情况表（预算公开09表）</w:t>
      </w:r>
    </w:p>
    <w:p w14:paraId="56E020B0">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十、政府采购预算表（预算公开10表）</w:t>
      </w:r>
    </w:p>
    <w:p w14:paraId="1057C5A0">
      <w:pPr>
        <w:pStyle w:val="5"/>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hAnsi="华文仿宋" w:eastAsia="仿宋_GB2312"/>
          <w:bCs/>
          <w:color w:val="auto"/>
          <w:sz w:val="32"/>
          <w:szCs w:val="32"/>
        </w:rPr>
        <w:t>十一、政府购买服务预算表（预算公开11表）</w:t>
      </w:r>
    </w:p>
    <w:p w14:paraId="622F8223">
      <w:pPr>
        <w:pStyle w:val="5"/>
        <w:spacing w:before="0" w:beforeAutospacing="0" w:after="0" w:afterAutospacing="0" w:line="560" w:lineRule="exact"/>
        <w:ind w:firstLine="643" w:firstLineChars="2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上述报表详见附件。</w:t>
      </w:r>
    </w:p>
    <w:p w14:paraId="50317D7C">
      <w:pPr>
        <w:pStyle w:val="5"/>
        <w:spacing w:before="0" w:beforeAutospacing="0" w:after="0" w:afterAutospacing="0" w:line="560" w:lineRule="exact"/>
        <w:ind w:firstLine="643" w:firstLineChars="200"/>
        <w:rPr>
          <w:rFonts w:ascii="仿宋_GB2312" w:hAnsi="华文仿宋" w:eastAsia="仿宋_GB2312"/>
          <w:b/>
          <w:bCs/>
          <w:color w:val="auto"/>
          <w:sz w:val="32"/>
          <w:szCs w:val="32"/>
        </w:rPr>
      </w:pPr>
    </w:p>
    <w:p w14:paraId="4E14D56F">
      <w:pPr>
        <w:pStyle w:val="5"/>
        <w:spacing w:before="0" w:beforeAutospacing="0" w:after="0" w:afterAutospacing="0" w:line="560" w:lineRule="exact"/>
        <w:ind w:left="2076" w:leftChars="300" w:hanging="1446" w:hangingChars="450"/>
        <w:jc w:val="both"/>
        <w:rPr>
          <w:rFonts w:ascii="仿宋_GB2312" w:hAnsi="华文仿宋" w:eastAsia="仿宋_GB2312"/>
          <w:b/>
          <w:color w:val="auto"/>
          <w:sz w:val="32"/>
          <w:szCs w:val="32"/>
        </w:rPr>
      </w:pPr>
      <w:r>
        <w:rPr>
          <w:rFonts w:hint="eastAsia" w:ascii="仿宋_GB2312" w:hAnsi="华文仿宋" w:eastAsia="仿宋_GB2312" w:cs="Times New Roman"/>
          <w:b/>
          <w:bCs/>
          <w:color w:val="auto"/>
          <w:kern w:val="2"/>
          <w:sz w:val="32"/>
          <w:szCs w:val="32"/>
        </w:rPr>
        <w:t>第三部分：</w:t>
      </w:r>
      <w:r>
        <w:rPr>
          <w:rFonts w:hint="eastAsia" w:ascii="仿宋_GB2312" w:hAnsi="华文仿宋" w:eastAsia="仿宋_GB2312"/>
          <w:b/>
          <w:color w:val="auto"/>
          <w:sz w:val="32"/>
          <w:szCs w:val="32"/>
        </w:rPr>
        <w:t>柳州市水果生产技术指导站</w:t>
      </w:r>
      <w:r>
        <w:rPr>
          <w:rFonts w:hint="eastAsia" w:ascii="仿宋_GB2312" w:hAnsi="华文仿宋" w:eastAsia="仿宋_GB2312" w:cs="Times New Roman"/>
          <w:b/>
          <w:bCs/>
          <w:color w:val="auto"/>
          <w:kern w:val="2"/>
          <w:sz w:val="32"/>
          <w:szCs w:val="32"/>
        </w:rPr>
        <w:t>2021年预算情况说明</w:t>
      </w:r>
    </w:p>
    <w:p w14:paraId="7E36AA00">
      <w:pPr>
        <w:tabs>
          <w:tab w:val="center" w:pos="4475"/>
        </w:tabs>
        <w:spacing w:line="560" w:lineRule="exact"/>
        <w:ind w:firstLine="643"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一、单位收支预算情况说明</w:t>
      </w:r>
    </w:p>
    <w:p w14:paraId="5867CD18">
      <w:pPr>
        <w:pStyle w:val="5"/>
        <w:spacing w:before="0" w:beforeAutospacing="0" w:after="0" w:afterAutospacing="0"/>
        <w:ind w:firstLine="480" w:firstLineChars="150"/>
        <w:rPr>
          <w:rFonts w:ascii="仿宋_GB2312" w:hAnsi="华文仿宋" w:eastAsia="仿宋_GB2312"/>
          <w:color w:val="auto"/>
          <w:sz w:val="32"/>
          <w:szCs w:val="32"/>
        </w:rPr>
      </w:pPr>
      <w:r>
        <w:rPr>
          <w:rFonts w:hint="eastAsia" w:ascii="仿宋_GB2312" w:hAnsi="华文仿宋" w:eastAsia="仿宋_GB2312" w:cs="Times New Roman"/>
          <w:color w:val="auto"/>
          <w:kern w:val="2"/>
          <w:sz w:val="32"/>
          <w:szCs w:val="32"/>
        </w:rPr>
        <w:t>2021年单位收支总预算150.21万元，同比增加4.23万元，同比增长2.9%，收入来源全部为</w:t>
      </w:r>
      <w:r>
        <w:rPr>
          <w:rFonts w:hint="eastAsia" w:ascii="仿宋_GB2312" w:hAnsi="华文仿宋" w:eastAsia="仿宋_GB2312"/>
          <w:color w:val="auto"/>
          <w:sz w:val="32"/>
          <w:szCs w:val="32"/>
        </w:rPr>
        <w:t>一般公共财政预算拨款</w:t>
      </w:r>
      <w:r>
        <w:rPr>
          <w:rFonts w:hint="eastAsia" w:ascii="仿宋_GB2312" w:hAnsi="华文仿宋" w:eastAsia="仿宋_GB2312" w:cs="Times New Roman"/>
          <w:color w:val="auto"/>
          <w:kern w:val="2"/>
          <w:sz w:val="32"/>
          <w:szCs w:val="32"/>
        </w:rPr>
        <w:t>;支出包括</w:t>
      </w:r>
      <w:r>
        <w:rPr>
          <w:rFonts w:hint="eastAsia" w:ascii="仿宋_GB2312" w:hAnsi="华文仿宋" w:eastAsia="仿宋_GB2312"/>
          <w:color w:val="auto"/>
          <w:sz w:val="32"/>
          <w:szCs w:val="32"/>
        </w:rPr>
        <w:t>：社会保障和就业支出24.26万元、卫生健康支出9.87万元、农林水支出105.15万元、住房保障支出10.93万元。</w:t>
      </w:r>
    </w:p>
    <w:p w14:paraId="25D18601">
      <w:pPr>
        <w:tabs>
          <w:tab w:val="center" w:pos="4475"/>
        </w:tabs>
        <w:spacing w:line="560" w:lineRule="exact"/>
        <w:ind w:firstLine="645"/>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二、单位收入预算情况说明</w:t>
      </w:r>
    </w:p>
    <w:p w14:paraId="1DFA670C">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2021年单位收入总预算150.21万元，同比增加4.23万元，同比增长2.9%。其中：</w:t>
      </w:r>
    </w:p>
    <w:p w14:paraId="42A822F5">
      <w:pPr>
        <w:spacing w:line="560" w:lineRule="exact"/>
        <w:ind w:firstLine="640" w:firstLineChars="200"/>
        <w:rPr>
          <w:rFonts w:ascii="仿宋_GB2312" w:hAnsi="华文仿宋" w:eastAsia="仿宋_GB2312" w:cs="宋体"/>
          <w:color w:val="auto"/>
          <w:sz w:val="32"/>
          <w:szCs w:val="32"/>
        </w:rPr>
      </w:pPr>
      <w:r>
        <w:rPr>
          <w:rFonts w:hint="eastAsia" w:ascii="仿宋_GB2312" w:hAnsi="华文仿宋" w:eastAsia="仿宋_GB2312"/>
          <w:color w:val="auto"/>
          <w:sz w:val="32"/>
          <w:szCs w:val="32"/>
        </w:rPr>
        <w:t>（一）一般公共财政预算拨款150.21万元，占收入总预算100%,同比增加4.23万元，同比增长2.9%。</w:t>
      </w:r>
    </w:p>
    <w:p w14:paraId="1DFB9A0B">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2021年收入预算总体增加4.23万元，主要原因：单位人员职务、职级晋升，导致工资、绩效奖、养老保险、职业年金及医疗保险等收入的增加。</w:t>
      </w:r>
    </w:p>
    <w:p w14:paraId="6D0D57E2">
      <w:pPr>
        <w:spacing w:line="560" w:lineRule="exact"/>
        <w:ind w:firstLine="320" w:firstLineChars="100"/>
        <w:rPr>
          <w:rFonts w:ascii="仿宋_GB2312" w:hAnsi="华文仿宋" w:eastAsia="仿宋_GB2312"/>
          <w:color w:val="auto"/>
          <w:sz w:val="32"/>
          <w:szCs w:val="32"/>
        </w:rPr>
      </w:pPr>
      <w:r>
        <w:rPr>
          <w:rFonts w:hint="eastAsia" w:ascii="仿宋_GB2312" w:hAnsi="华文仿宋" w:eastAsia="仿宋_GB2312"/>
          <w:color w:val="auto"/>
          <w:sz w:val="32"/>
          <w:szCs w:val="32"/>
        </w:rPr>
        <w:t>（二）政府性基金预算收入、国有资本经营预算收入、上年结余（结转）收入等都为0万元，无变化。</w:t>
      </w:r>
    </w:p>
    <w:p w14:paraId="3806669E">
      <w:pPr>
        <w:tabs>
          <w:tab w:val="center" w:pos="4475"/>
        </w:tabs>
        <w:spacing w:line="560" w:lineRule="exact"/>
        <w:ind w:firstLine="645"/>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三、单位支出预算情况说明</w:t>
      </w:r>
    </w:p>
    <w:p w14:paraId="6C6AD5A2">
      <w:pPr>
        <w:spacing w:line="560" w:lineRule="exact"/>
        <w:ind w:firstLine="640" w:firstLineChars="200"/>
        <w:rPr>
          <w:rFonts w:ascii="仿宋_GB2312" w:hAnsi="华文仿宋" w:eastAsia="仿宋_GB2312" w:cs="宋体"/>
          <w:strike/>
          <w:color w:val="auto"/>
          <w:sz w:val="32"/>
          <w:szCs w:val="32"/>
        </w:rPr>
      </w:pPr>
      <w:r>
        <w:rPr>
          <w:rFonts w:hint="eastAsia" w:ascii="仿宋_GB2312" w:hAnsi="华文仿宋" w:eastAsia="仿宋_GB2312"/>
          <w:color w:val="auto"/>
          <w:sz w:val="32"/>
          <w:szCs w:val="32"/>
        </w:rPr>
        <w:t>2021年单位支出总预算150.21万元，基本支出预算149.21万元，占支出总预算的99.3%,同比增加4.23万元，同比增长2.9%。项目支出预算1万元，占支出总预算的0.7%,同比无变化。</w:t>
      </w:r>
    </w:p>
    <w:p w14:paraId="5BB500CD">
      <w:pPr>
        <w:pStyle w:val="5"/>
        <w:numPr>
          <w:ilvl w:val="0"/>
          <w:numId w:val="1"/>
        </w:numPr>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 xml:space="preserve">按支出功能分类科目划分，共分为四类，其中：            </w:t>
      </w:r>
    </w:p>
    <w:p w14:paraId="12E8B56B">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1.</w:t>
      </w:r>
      <w:r>
        <w:rPr>
          <w:rFonts w:hint="eastAsia" w:ascii="仿宋_GB2312" w:hAnsi="华文仿宋" w:eastAsia="仿宋_GB2312"/>
          <w:color w:val="auto"/>
          <w:sz w:val="32"/>
          <w:szCs w:val="32"/>
        </w:rPr>
        <w:t>社会保障和就业支出24.26万</w:t>
      </w:r>
      <w:r>
        <w:rPr>
          <w:rFonts w:hint="eastAsia" w:ascii="仿宋_GB2312" w:hAnsi="华文仿宋" w:eastAsia="仿宋_GB2312" w:cs="Times New Roman"/>
          <w:color w:val="auto"/>
          <w:kern w:val="2"/>
          <w:sz w:val="32"/>
          <w:szCs w:val="32"/>
        </w:rPr>
        <w:t>元，占支出总预算16.2%，同比增加1.81万元，同比增长8.1%。增加原因是工资和绩效收入同比增加，缴费基数提高，导致该项支出同比增加。</w:t>
      </w:r>
    </w:p>
    <w:p w14:paraId="196D0423">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2.</w:t>
      </w:r>
      <w:r>
        <w:rPr>
          <w:rFonts w:hint="eastAsia" w:ascii="仿宋_GB2312" w:hAnsi="华文仿宋" w:eastAsia="仿宋_GB2312"/>
          <w:color w:val="auto"/>
          <w:sz w:val="32"/>
          <w:szCs w:val="32"/>
        </w:rPr>
        <w:t xml:space="preserve"> 卫生健康支出9.87万元</w:t>
      </w:r>
      <w:r>
        <w:rPr>
          <w:rFonts w:hint="eastAsia" w:ascii="仿宋_GB2312" w:hAnsi="华文仿宋" w:eastAsia="仿宋_GB2312" w:cs="Times New Roman"/>
          <w:color w:val="auto"/>
          <w:kern w:val="2"/>
          <w:sz w:val="32"/>
          <w:szCs w:val="32"/>
        </w:rPr>
        <w:t>，占支出总预算6.6%，同比减少1.53万元，同比下降13.4%。下降原因是核算医疗保险的缴费年度由上年7月到当年7月调整为自然年度，导致2021年的医疗保险（公务员医疗补助）仅需做半年的预算，所以预算金额大幅度较少。</w:t>
      </w:r>
    </w:p>
    <w:p w14:paraId="288E3D6A">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3. 农林水支出105.15万元，占支出总预算70.0%，同比增加3.04万元，同比增长3.0%。增加原因：单位人员职务、职级晋升，导致工资、绩效奖等支出的增加。</w:t>
      </w:r>
    </w:p>
    <w:p w14:paraId="4D7C5279">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4．</w:t>
      </w:r>
      <w:r>
        <w:rPr>
          <w:rFonts w:hint="eastAsia" w:ascii="仿宋_GB2312" w:hAnsi="华文仿宋" w:eastAsia="仿宋_GB2312"/>
          <w:color w:val="auto"/>
          <w:sz w:val="32"/>
          <w:szCs w:val="32"/>
        </w:rPr>
        <w:t>住房保障支出10.93万元，</w:t>
      </w:r>
      <w:r>
        <w:rPr>
          <w:rFonts w:hint="eastAsia" w:ascii="仿宋_GB2312" w:hAnsi="华文仿宋" w:eastAsia="仿宋_GB2312" w:cs="Times New Roman"/>
          <w:color w:val="auto"/>
          <w:kern w:val="2"/>
          <w:sz w:val="32"/>
          <w:szCs w:val="32"/>
        </w:rPr>
        <w:t>占支出总预算7.3%，同比增加0.91万元，同比增长9.1%。增加原因是同比工资和绩效收入增加，计提公积金基数增加，导致住房保障支出增加。</w:t>
      </w:r>
    </w:p>
    <w:p w14:paraId="3ACDDF13">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（二）按支出结构分类划分，分为基本支出预算和项目支出预算。</w:t>
      </w:r>
    </w:p>
    <w:p w14:paraId="4E0CFE6F">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1.基本支出预算149.21万元，占一般公共预算拨款支出预算99.3%，</w:t>
      </w:r>
      <w:r>
        <w:rPr>
          <w:rFonts w:hint="eastAsia" w:ascii="仿宋_GB2312" w:hAnsi="华文仿宋" w:eastAsia="仿宋_GB2312"/>
          <w:color w:val="auto"/>
          <w:sz w:val="32"/>
          <w:szCs w:val="32"/>
        </w:rPr>
        <w:t>同比增加4.23万元，同比增长2.9%。</w:t>
      </w:r>
    </w:p>
    <w:p w14:paraId="1831367B">
      <w:pPr>
        <w:spacing w:line="560" w:lineRule="exact"/>
        <w:ind w:firstLine="640" w:firstLineChars="200"/>
        <w:rPr>
          <w:rFonts w:ascii="仿宋_GB2312" w:hAnsi="华文仿宋" w:eastAsia="仿宋_GB2312" w:cs="宋体"/>
          <w:strike/>
          <w:color w:val="auto"/>
          <w:sz w:val="32"/>
          <w:szCs w:val="32"/>
        </w:rPr>
      </w:pPr>
      <w:r>
        <w:rPr>
          <w:rFonts w:hint="eastAsia" w:ascii="仿宋_GB2312" w:hAnsi="华文仿宋" w:eastAsia="仿宋_GB2312"/>
          <w:color w:val="auto"/>
          <w:sz w:val="32"/>
          <w:szCs w:val="32"/>
        </w:rPr>
        <w:t>2.项目支出预算1.0万元；占支出总预算的0.7%,同比无变化。</w:t>
      </w:r>
    </w:p>
    <w:p w14:paraId="72A943C7">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2021年支出预算总体增加4.23万元，主要原因：单位人员职务、职级晋升，导致工资、绩效奖、养老保险、职业年金及医疗保险等支出的增加。</w:t>
      </w:r>
    </w:p>
    <w:p w14:paraId="070A6E40">
      <w:pPr>
        <w:pStyle w:val="5"/>
        <w:tabs>
          <w:tab w:val="center" w:pos="4475"/>
        </w:tabs>
        <w:spacing w:before="0" w:beforeAutospacing="0" w:after="0" w:afterAutospacing="0"/>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四、财政拨款收支预算情况说明</w:t>
      </w:r>
    </w:p>
    <w:p w14:paraId="5920D50A">
      <w:pPr>
        <w:pStyle w:val="5"/>
        <w:spacing w:before="0" w:beforeAutospacing="0" w:after="0" w:afterAutospacing="0"/>
        <w:ind w:firstLine="480" w:firstLineChars="150"/>
        <w:rPr>
          <w:rFonts w:ascii="仿宋_GB2312" w:hAnsi="华文仿宋" w:eastAsia="仿宋_GB2312"/>
          <w:color w:val="auto"/>
          <w:sz w:val="32"/>
          <w:szCs w:val="32"/>
        </w:rPr>
      </w:pPr>
      <w:r>
        <w:rPr>
          <w:rFonts w:hint="eastAsia" w:ascii="仿宋_GB2312" w:hAnsi="华文仿宋" w:eastAsia="仿宋_GB2312" w:cs="Times New Roman"/>
          <w:color w:val="auto"/>
          <w:kern w:val="2"/>
          <w:sz w:val="32"/>
          <w:szCs w:val="32"/>
        </w:rPr>
        <w:t>2021年单位财政拨款收支总预算150.21万元， 收入全部来源全部为</w:t>
      </w:r>
      <w:r>
        <w:rPr>
          <w:rFonts w:hint="eastAsia" w:ascii="仿宋_GB2312" w:hAnsi="华文仿宋" w:eastAsia="仿宋_GB2312"/>
          <w:color w:val="auto"/>
          <w:sz w:val="32"/>
          <w:szCs w:val="32"/>
        </w:rPr>
        <w:t>一般公共财政预算拨款，占收入总预算100%</w:t>
      </w:r>
      <w:r>
        <w:rPr>
          <w:rFonts w:hint="eastAsia" w:ascii="仿宋_GB2312" w:hAnsi="华文仿宋" w:eastAsia="仿宋_GB2312" w:cs="Times New Roman"/>
          <w:color w:val="auto"/>
          <w:kern w:val="2"/>
          <w:sz w:val="32"/>
          <w:szCs w:val="32"/>
        </w:rPr>
        <w:t>;支出包括：</w:t>
      </w:r>
      <w:r>
        <w:rPr>
          <w:rFonts w:hint="eastAsia" w:ascii="仿宋_GB2312" w:hAnsi="华文仿宋" w:eastAsia="仿宋_GB2312"/>
          <w:color w:val="auto"/>
          <w:sz w:val="32"/>
          <w:szCs w:val="32"/>
        </w:rPr>
        <w:t>社会保障和就业支出24.26万元、卫生健康支出9.87万元、农林水支出105.15万元、住房保障支出10.93万元。</w:t>
      </w:r>
    </w:p>
    <w:p w14:paraId="60416CF3">
      <w:pPr>
        <w:pStyle w:val="5"/>
        <w:spacing w:before="0" w:beforeAutospacing="0" w:after="0" w:afterAutospacing="0" w:line="560" w:lineRule="exact"/>
        <w:ind w:firstLine="643" w:firstLineChars="200"/>
        <w:jc w:val="both"/>
        <w:rPr>
          <w:rFonts w:ascii="黑体" w:hAnsi="黑体" w:eastAsia="黑体" w:cs="黑体"/>
          <w:b/>
          <w:bCs/>
          <w:color w:val="auto"/>
          <w:sz w:val="32"/>
          <w:szCs w:val="32"/>
        </w:rPr>
      </w:pPr>
      <w:r>
        <w:rPr>
          <w:rFonts w:hint="eastAsia" w:ascii="黑体" w:hAnsi="黑体" w:eastAsia="黑体" w:cs="黑体"/>
          <w:b/>
          <w:bCs/>
          <w:color w:val="auto"/>
          <w:sz w:val="32"/>
          <w:szCs w:val="32"/>
        </w:rPr>
        <w:t>五、一般公共预算支出情况说明</w:t>
      </w:r>
    </w:p>
    <w:p w14:paraId="2950B07A">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2021年单位一般公共预算拨款支出150.21万元，其中：基本支出149.21万</w:t>
      </w:r>
      <w:bookmarkStart w:id="0" w:name="_GoBack"/>
      <w:bookmarkEnd w:id="0"/>
      <w:r>
        <w:rPr>
          <w:rFonts w:hint="eastAsia" w:ascii="仿宋_GB2312" w:hAnsi="华文仿宋" w:eastAsia="仿宋_GB2312" w:cs="Times New Roman"/>
          <w:color w:val="auto"/>
          <w:kern w:val="2"/>
          <w:sz w:val="32"/>
          <w:szCs w:val="32"/>
        </w:rPr>
        <w:t>元，项目支出1.0万元，具体支出预算如下：</w:t>
      </w:r>
    </w:p>
    <w:p w14:paraId="52248C7D">
      <w:pPr>
        <w:pStyle w:val="5"/>
        <w:spacing w:before="0" w:beforeAutospacing="0" w:after="0" w:afterAutospacing="0" w:line="560" w:lineRule="exact"/>
        <w:ind w:firstLine="320" w:firstLineChars="100"/>
        <w:rPr>
          <w:rFonts w:ascii="仿宋_GB2312" w:hAnsi="华文仿宋" w:eastAsia="仿宋_GB2312"/>
          <w:color w:val="auto"/>
          <w:sz w:val="32"/>
          <w:szCs w:val="32"/>
        </w:rPr>
      </w:pPr>
      <w:r>
        <w:rPr>
          <w:rFonts w:hint="eastAsia" w:ascii="仿宋_GB2312" w:hAnsi="华文仿宋" w:eastAsia="仿宋_GB2312" w:cs="Times New Roman"/>
          <w:color w:val="auto"/>
          <w:kern w:val="2"/>
          <w:sz w:val="32"/>
          <w:szCs w:val="32"/>
        </w:rPr>
        <w:t>（一）</w:t>
      </w:r>
      <w:r>
        <w:rPr>
          <w:rFonts w:hint="eastAsia" w:ascii="仿宋_GB2312" w:hAnsi="华文仿宋" w:eastAsia="仿宋_GB2312"/>
          <w:color w:val="auto"/>
          <w:sz w:val="32"/>
          <w:szCs w:val="32"/>
        </w:rPr>
        <w:t>行政单位离退休2.40万元</w:t>
      </w:r>
      <w:r>
        <w:rPr>
          <w:rFonts w:hint="eastAsia" w:ascii="仿宋_GB2312" w:hAnsi="华文仿宋" w:eastAsia="仿宋_GB2312" w:cs="Times New Roman"/>
          <w:color w:val="auto"/>
          <w:kern w:val="2"/>
          <w:sz w:val="32"/>
          <w:szCs w:val="32"/>
        </w:rPr>
        <w:t>，全部为基本支出。主要用于</w:t>
      </w:r>
      <w:r>
        <w:rPr>
          <w:rFonts w:hint="eastAsia" w:ascii="仿宋_GB2312" w:hAnsi="华文仿宋" w:eastAsia="仿宋_GB2312"/>
          <w:color w:val="auto"/>
          <w:sz w:val="32"/>
          <w:szCs w:val="32"/>
        </w:rPr>
        <w:t>离退休生活补助、物业补助、公用经费等支出。</w:t>
      </w:r>
    </w:p>
    <w:p w14:paraId="4A547710">
      <w:pPr>
        <w:pStyle w:val="5"/>
        <w:spacing w:before="0" w:beforeAutospacing="0" w:after="0" w:afterAutospacing="0" w:line="560" w:lineRule="exact"/>
        <w:ind w:firstLine="320" w:firstLineChars="100"/>
        <w:rPr>
          <w:rFonts w:ascii="仿宋_GB2312" w:hAnsi="华文仿宋" w:eastAsia="仿宋_GB2312"/>
          <w:color w:val="auto"/>
          <w:sz w:val="32"/>
          <w:szCs w:val="32"/>
        </w:rPr>
      </w:pPr>
      <w:r>
        <w:rPr>
          <w:rFonts w:hint="eastAsia" w:ascii="仿宋_GB2312" w:hAnsi="华文仿宋" w:eastAsia="仿宋_GB2312"/>
          <w:color w:val="auto"/>
          <w:sz w:val="32"/>
          <w:szCs w:val="32"/>
        </w:rPr>
        <w:t>（二）单位基本养老保险缴费支出14.57万元，</w:t>
      </w:r>
      <w:r>
        <w:rPr>
          <w:rFonts w:hint="eastAsia" w:ascii="仿宋_GB2312" w:hAnsi="华文仿宋" w:eastAsia="仿宋_GB2312" w:cs="Times New Roman"/>
          <w:color w:val="auto"/>
          <w:kern w:val="2"/>
          <w:sz w:val="32"/>
          <w:szCs w:val="32"/>
        </w:rPr>
        <w:t>全部为基本支出。主要用于</w:t>
      </w:r>
      <w:r>
        <w:rPr>
          <w:rFonts w:hint="eastAsia" w:ascii="仿宋_GB2312" w:hAnsi="华文仿宋" w:eastAsia="仿宋_GB2312"/>
          <w:color w:val="auto"/>
          <w:sz w:val="32"/>
          <w:szCs w:val="32"/>
        </w:rPr>
        <w:t>单位基本养老保险缴费。</w:t>
      </w:r>
    </w:p>
    <w:p w14:paraId="0D2D21FA">
      <w:pPr>
        <w:pStyle w:val="5"/>
        <w:spacing w:before="0" w:beforeAutospacing="0" w:after="0" w:afterAutospacing="0" w:line="560" w:lineRule="exact"/>
        <w:ind w:firstLine="320" w:firstLineChars="100"/>
        <w:rPr>
          <w:rFonts w:ascii="仿宋_GB2312" w:hAnsi="华文仿宋" w:eastAsia="仿宋_GB2312" w:cs="Times New Roman"/>
          <w:color w:val="auto"/>
          <w:kern w:val="2"/>
          <w:sz w:val="32"/>
          <w:szCs w:val="32"/>
        </w:rPr>
      </w:pPr>
      <w:r>
        <w:rPr>
          <w:rFonts w:hint="eastAsia" w:ascii="仿宋_GB2312" w:hAnsi="华文仿宋" w:eastAsia="仿宋_GB2312"/>
          <w:color w:val="auto"/>
          <w:sz w:val="32"/>
          <w:szCs w:val="32"/>
        </w:rPr>
        <w:t>（三）单位职业年金缴费支出7.28万元。</w:t>
      </w:r>
      <w:r>
        <w:rPr>
          <w:rFonts w:hint="eastAsia" w:ascii="仿宋_GB2312" w:hAnsi="华文仿宋" w:eastAsia="仿宋_GB2312" w:cs="Times New Roman"/>
          <w:color w:val="auto"/>
          <w:kern w:val="2"/>
          <w:sz w:val="32"/>
          <w:szCs w:val="32"/>
        </w:rPr>
        <w:t>全部为基本支出。主要用于</w:t>
      </w:r>
      <w:r>
        <w:rPr>
          <w:rFonts w:hint="eastAsia" w:ascii="仿宋_GB2312" w:hAnsi="华文仿宋" w:eastAsia="仿宋_GB2312"/>
          <w:color w:val="auto"/>
          <w:sz w:val="32"/>
          <w:szCs w:val="32"/>
        </w:rPr>
        <w:t>单位职业年金缴费</w:t>
      </w:r>
    </w:p>
    <w:p w14:paraId="73E43E6D">
      <w:pPr>
        <w:pStyle w:val="5"/>
        <w:spacing w:before="0" w:beforeAutospacing="0" w:after="0" w:afterAutospacing="0" w:line="560" w:lineRule="exact"/>
        <w:ind w:firstLine="320" w:firstLineChars="100"/>
        <w:rPr>
          <w:rFonts w:ascii="仿宋_GB2312" w:hAnsi="华文仿宋" w:eastAsia="仿宋_GB2312"/>
          <w:color w:val="auto"/>
          <w:sz w:val="32"/>
          <w:szCs w:val="32"/>
        </w:rPr>
      </w:pPr>
      <w:r>
        <w:rPr>
          <w:rFonts w:hint="eastAsia" w:ascii="仿宋_GB2312" w:hAnsi="华文仿宋" w:eastAsia="仿宋_GB2312" w:cs="Times New Roman"/>
          <w:color w:val="auto"/>
          <w:kern w:val="2"/>
          <w:sz w:val="32"/>
          <w:szCs w:val="32"/>
        </w:rPr>
        <w:t>（四）</w:t>
      </w:r>
      <w:r>
        <w:rPr>
          <w:rFonts w:hint="eastAsia" w:ascii="仿宋_GB2312" w:hAnsi="华文仿宋" w:eastAsia="仿宋_GB2312"/>
          <w:color w:val="auto"/>
          <w:sz w:val="32"/>
          <w:szCs w:val="32"/>
        </w:rPr>
        <w:t>行政单位医疗7.10万元</w:t>
      </w:r>
      <w:r>
        <w:rPr>
          <w:rFonts w:hint="eastAsia" w:ascii="仿宋_GB2312" w:hAnsi="华文仿宋" w:eastAsia="仿宋_GB2312" w:cs="Times New Roman"/>
          <w:color w:val="auto"/>
          <w:kern w:val="2"/>
          <w:sz w:val="32"/>
          <w:szCs w:val="32"/>
        </w:rPr>
        <w:t>，全部为基本支出。主要用于</w:t>
      </w:r>
      <w:r>
        <w:rPr>
          <w:rFonts w:hint="eastAsia" w:ascii="仿宋_GB2312" w:hAnsi="华文仿宋" w:eastAsia="仿宋_GB2312"/>
          <w:color w:val="auto"/>
          <w:sz w:val="32"/>
          <w:szCs w:val="32"/>
        </w:rPr>
        <w:t>单位医保缴费。</w:t>
      </w:r>
    </w:p>
    <w:p w14:paraId="3D579883">
      <w:pPr>
        <w:pStyle w:val="5"/>
        <w:spacing w:before="0" w:beforeAutospacing="0" w:after="0" w:afterAutospacing="0" w:line="560" w:lineRule="exact"/>
        <w:ind w:firstLine="320" w:firstLineChars="100"/>
        <w:rPr>
          <w:rFonts w:ascii="仿宋_GB2312" w:hAnsi="华文仿宋" w:eastAsia="仿宋_GB2312" w:cs="Times New Roman"/>
          <w:color w:val="auto"/>
          <w:kern w:val="2"/>
          <w:sz w:val="32"/>
          <w:szCs w:val="32"/>
        </w:rPr>
      </w:pPr>
      <w:r>
        <w:rPr>
          <w:rFonts w:hint="eastAsia" w:ascii="仿宋_GB2312" w:hAnsi="华文仿宋" w:eastAsia="仿宋_GB2312"/>
          <w:color w:val="auto"/>
          <w:sz w:val="32"/>
          <w:szCs w:val="32"/>
        </w:rPr>
        <w:t>（五）公务员医疗补助2.76万元，</w:t>
      </w:r>
      <w:r>
        <w:rPr>
          <w:rFonts w:hint="eastAsia" w:ascii="仿宋_GB2312" w:hAnsi="华文仿宋" w:eastAsia="仿宋_GB2312" w:cs="Times New Roman"/>
          <w:color w:val="auto"/>
          <w:kern w:val="2"/>
          <w:sz w:val="32"/>
          <w:szCs w:val="32"/>
        </w:rPr>
        <w:t>全部为基本支出。主要用于</w:t>
      </w:r>
      <w:r>
        <w:rPr>
          <w:rFonts w:hint="eastAsia" w:ascii="仿宋_GB2312" w:hAnsi="华文仿宋" w:eastAsia="仿宋_GB2312"/>
          <w:color w:val="auto"/>
          <w:sz w:val="32"/>
          <w:szCs w:val="32"/>
        </w:rPr>
        <w:t>公务员医疗补助缴费。</w:t>
      </w:r>
    </w:p>
    <w:p w14:paraId="15F0AE02">
      <w:pPr>
        <w:pStyle w:val="5"/>
        <w:spacing w:before="0" w:beforeAutospacing="0" w:after="0" w:afterAutospacing="0" w:line="560" w:lineRule="exact"/>
        <w:ind w:firstLine="320" w:firstLineChars="100"/>
        <w:jc w:val="both"/>
        <w:rPr>
          <w:rFonts w:ascii="仿宋_GB2312" w:hAnsi="华文仿宋" w:eastAsia="仿宋_GB2312" w:cs="Times New Roman"/>
          <w:color w:val="auto"/>
          <w:kern w:val="2"/>
          <w:sz w:val="32"/>
          <w:szCs w:val="32"/>
        </w:rPr>
      </w:pPr>
      <w:r>
        <w:rPr>
          <w:rFonts w:hint="eastAsia" w:ascii="仿宋_GB2312" w:hAnsi="华文仿宋" w:eastAsia="仿宋_GB2312"/>
          <w:color w:val="auto"/>
          <w:sz w:val="32"/>
          <w:szCs w:val="32"/>
        </w:rPr>
        <w:t>（六）行政运行（农业）104.15万元，</w:t>
      </w:r>
      <w:r>
        <w:rPr>
          <w:rFonts w:hint="eastAsia" w:ascii="仿宋_GB2312" w:hAnsi="华文仿宋" w:eastAsia="仿宋_GB2312" w:cs="Times New Roman"/>
          <w:color w:val="auto"/>
          <w:kern w:val="2"/>
          <w:sz w:val="32"/>
          <w:szCs w:val="32"/>
        </w:rPr>
        <w:t>全部为基本支出。主要用于人员工资、绩效奖、办公、差旅、会议等人员及日常公用经费支出。</w:t>
      </w:r>
    </w:p>
    <w:p w14:paraId="07467969">
      <w:pPr>
        <w:tabs>
          <w:tab w:val="center" w:pos="4475"/>
        </w:tabs>
        <w:spacing w:line="560" w:lineRule="exact"/>
        <w:ind w:firstLine="320" w:firstLineChars="100"/>
        <w:rPr>
          <w:rFonts w:ascii="仿宋_GB2312" w:hAnsi="黑体" w:eastAsia="仿宋_GB2312" w:cs="黑体"/>
          <w:bCs/>
          <w:color w:val="auto"/>
          <w:kern w:val="0"/>
          <w:sz w:val="32"/>
          <w:szCs w:val="32"/>
        </w:rPr>
      </w:pPr>
      <w:r>
        <w:rPr>
          <w:rFonts w:hint="eastAsia" w:ascii="仿宋_GB2312" w:hAnsi="黑体" w:eastAsia="仿宋_GB2312" w:cs="黑体"/>
          <w:bCs/>
          <w:color w:val="auto"/>
          <w:kern w:val="0"/>
          <w:sz w:val="32"/>
          <w:szCs w:val="32"/>
        </w:rPr>
        <w:t>（七）其他农业农村支出1万元，全部为项目支出。主要用于采购办公设备。</w:t>
      </w:r>
    </w:p>
    <w:p w14:paraId="683BD54E">
      <w:pPr>
        <w:tabs>
          <w:tab w:val="center" w:pos="4475"/>
        </w:tabs>
        <w:spacing w:line="560" w:lineRule="exact"/>
        <w:ind w:firstLine="320" w:firstLineChars="100"/>
        <w:rPr>
          <w:rFonts w:ascii="仿宋_GB2312" w:hAnsi="黑体" w:eastAsia="仿宋_GB2312" w:cs="黑体"/>
          <w:bCs/>
          <w:color w:val="auto"/>
          <w:kern w:val="0"/>
          <w:sz w:val="32"/>
          <w:szCs w:val="32"/>
        </w:rPr>
      </w:pPr>
      <w:r>
        <w:rPr>
          <w:rFonts w:hint="eastAsia" w:ascii="仿宋_GB2312" w:hAnsi="黑体" w:eastAsia="仿宋_GB2312" w:cs="黑体"/>
          <w:bCs/>
          <w:color w:val="auto"/>
          <w:kern w:val="0"/>
          <w:sz w:val="32"/>
          <w:szCs w:val="32"/>
        </w:rPr>
        <w:t>（八）住房公积金10.93万元，全部为基本支出。主要用于住房公积金支出。</w:t>
      </w:r>
    </w:p>
    <w:p w14:paraId="43F9FC6C">
      <w:pPr>
        <w:tabs>
          <w:tab w:val="center" w:pos="4475"/>
        </w:tabs>
        <w:spacing w:line="560" w:lineRule="exact"/>
        <w:ind w:firstLine="645"/>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六、一般公共预算基本支出情况说明</w:t>
      </w:r>
    </w:p>
    <w:p w14:paraId="0D99E004">
      <w:pPr>
        <w:pStyle w:val="5"/>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rPr>
      </w:pPr>
      <w:r>
        <w:rPr>
          <w:rFonts w:hint="eastAsia" w:ascii="仿宋_GB2312" w:hAnsi="华文仿宋" w:eastAsia="仿宋_GB2312" w:cs="Times New Roman"/>
          <w:color w:val="auto"/>
          <w:kern w:val="2"/>
          <w:sz w:val="32"/>
          <w:szCs w:val="32"/>
        </w:rPr>
        <w:t>2021年单位一般公共预算基本支出149.21万元，其中：</w:t>
      </w:r>
    </w:p>
    <w:p w14:paraId="7683CF1B">
      <w:pPr>
        <w:pStyle w:val="5"/>
        <w:spacing w:before="0" w:beforeAutospacing="0" w:after="0" w:afterAutospacing="0" w:line="560" w:lineRule="exact"/>
        <w:ind w:firstLine="640" w:firstLineChars="200"/>
        <w:jc w:val="both"/>
        <w:rPr>
          <w:rFonts w:ascii="仿宋_GB2312" w:hAnsi="华文仿宋" w:eastAsia="仿宋_GB2312"/>
          <w:bCs/>
          <w:strike/>
          <w:color w:val="auto"/>
          <w:sz w:val="32"/>
          <w:szCs w:val="32"/>
        </w:rPr>
      </w:pPr>
      <w:r>
        <w:rPr>
          <w:rFonts w:hint="eastAsia" w:ascii="仿宋_GB2312" w:hAnsi="华文仿宋" w:eastAsia="仿宋_GB2312" w:cs="Times New Roman"/>
          <w:color w:val="auto"/>
          <w:kern w:val="2"/>
          <w:sz w:val="32"/>
          <w:szCs w:val="32"/>
        </w:rPr>
        <w:t>（一）人员经费125.54万元，主要包括：</w:t>
      </w:r>
      <w:r>
        <w:rPr>
          <w:rFonts w:hint="eastAsia" w:ascii="仿宋_GB2312" w:hAnsi="华文仿宋" w:eastAsia="仿宋_GB2312"/>
          <w:color w:val="auto"/>
          <w:sz w:val="32"/>
          <w:szCs w:val="32"/>
        </w:rPr>
        <w:t>行政单位离退休</w:t>
      </w:r>
      <w:r>
        <w:rPr>
          <w:rFonts w:hint="eastAsia" w:ascii="仿宋_GB2312" w:hAnsi="华文仿宋" w:eastAsia="仿宋_GB2312" w:cs="Times New Roman"/>
          <w:color w:val="auto"/>
          <w:kern w:val="2"/>
          <w:sz w:val="32"/>
          <w:szCs w:val="32"/>
        </w:rPr>
        <w:t>、</w:t>
      </w:r>
      <w:r>
        <w:rPr>
          <w:rFonts w:hint="eastAsia" w:ascii="仿宋_GB2312" w:hAnsi="华文仿宋" w:eastAsia="仿宋_GB2312"/>
          <w:color w:val="auto"/>
          <w:sz w:val="32"/>
          <w:szCs w:val="32"/>
        </w:rPr>
        <w:t>基本养老保险缴费支出、单位职业年金缴费支出、行政单位医疗、公务员医疗补助、人员工资等。</w:t>
      </w:r>
    </w:p>
    <w:p w14:paraId="080452B6">
      <w:pPr>
        <w:adjustRightInd w:val="0"/>
        <w:snapToGrid w:val="0"/>
        <w:spacing w:line="560" w:lineRule="exact"/>
        <w:ind w:right="-218" w:rightChars="-104" w:firstLine="640" w:firstLineChars="200"/>
        <w:rPr>
          <w:rFonts w:ascii="仿宋_GB2312" w:hAnsi="华文仿宋" w:eastAsia="仿宋_GB2312"/>
          <w:strike/>
          <w:color w:val="auto"/>
          <w:sz w:val="32"/>
          <w:szCs w:val="32"/>
          <w:highlight w:val="cyan"/>
        </w:rPr>
      </w:pPr>
      <w:r>
        <w:rPr>
          <w:rFonts w:hint="eastAsia" w:ascii="仿宋_GB2312" w:hAnsi="华文仿宋" w:eastAsia="仿宋_GB2312"/>
          <w:color w:val="auto"/>
          <w:sz w:val="32"/>
          <w:szCs w:val="32"/>
        </w:rPr>
        <w:t>（二）公用经费23.67万元，主要包括：办公、差旅、会议、培训、接待等日常公用支出。</w:t>
      </w:r>
    </w:p>
    <w:p w14:paraId="722DD8B7">
      <w:pPr>
        <w:tabs>
          <w:tab w:val="center" w:pos="4475"/>
        </w:tabs>
        <w:adjustRightInd w:val="0"/>
        <w:snapToGrid w:val="0"/>
        <w:spacing w:line="560" w:lineRule="exact"/>
        <w:ind w:right="-218" w:rightChars="-104" w:firstLine="643"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七、一般公共预算“三公”经费情况说明</w:t>
      </w:r>
    </w:p>
    <w:p w14:paraId="78EC51CD">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bCs/>
          <w:color w:val="auto"/>
          <w:sz w:val="32"/>
          <w:szCs w:val="32"/>
        </w:rPr>
        <w:t>2021年一般公共预算安排的“三公”经费支出预算0.32万元，比2020 年（上一年）预算0.32万元，无变化。其中：</w:t>
      </w:r>
    </w:p>
    <w:p w14:paraId="06898DBB">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cs="Times New Roman"/>
          <w:color w:val="auto"/>
          <w:kern w:val="2"/>
          <w:sz w:val="32"/>
          <w:szCs w:val="32"/>
        </w:rPr>
        <w:t>（一）</w:t>
      </w:r>
      <w:r>
        <w:rPr>
          <w:rFonts w:hint="eastAsia" w:ascii="仿宋_GB2312" w:hAnsi="华文仿宋" w:eastAsia="仿宋_GB2312"/>
          <w:bCs/>
          <w:color w:val="auto"/>
          <w:sz w:val="32"/>
          <w:szCs w:val="32"/>
        </w:rPr>
        <w:t>因公出国（境）经费2021年预算0万元，同比上年持平。</w:t>
      </w:r>
    </w:p>
    <w:p w14:paraId="0DCB8D20">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cs="Times New Roman"/>
          <w:color w:val="auto"/>
          <w:kern w:val="2"/>
          <w:sz w:val="32"/>
          <w:szCs w:val="32"/>
        </w:rPr>
        <w:t>（二）</w:t>
      </w:r>
      <w:r>
        <w:rPr>
          <w:rFonts w:hint="eastAsia" w:ascii="仿宋_GB2312" w:hAnsi="华文仿宋" w:eastAsia="仿宋_GB2312"/>
          <w:bCs/>
          <w:color w:val="auto"/>
          <w:sz w:val="32"/>
          <w:szCs w:val="32"/>
        </w:rPr>
        <w:t xml:space="preserve">公务接待费2021年预算0.32万元，同比上年持平。                                           </w:t>
      </w:r>
    </w:p>
    <w:p w14:paraId="6660D6AB">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bCs/>
          <w:color w:val="auto"/>
          <w:sz w:val="32"/>
          <w:szCs w:val="32"/>
        </w:rPr>
        <w:t>（三）公务用车购置及运行费2021年预算0万元，同比上年持平。</w:t>
      </w:r>
    </w:p>
    <w:p w14:paraId="6F10933A">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bCs/>
          <w:color w:val="auto"/>
          <w:sz w:val="32"/>
          <w:szCs w:val="32"/>
        </w:rPr>
        <w:t>1.公务用车购置费2021年预算0万元，同比上年持平。</w:t>
      </w:r>
    </w:p>
    <w:p w14:paraId="59EB51C5">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bCs/>
          <w:color w:val="auto"/>
          <w:sz w:val="32"/>
          <w:szCs w:val="32"/>
        </w:rPr>
        <w:t>2.公务用车运行维护费2021年预算0万元，同比上年持平。</w:t>
      </w:r>
    </w:p>
    <w:p w14:paraId="1E5F59E7">
      <w:pPr>
        <w:tabs>
          <w:tab w:val="center" w:pos="4475"/>
        </w:tabs>
        <w:spacing w:line="560" w:lineRule="exact"/>
        <w:ind w:firstLine="645"/>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八、政府性基金预算情况说明</w:t>
      </w:r>
    </w:p>
    <w:p w14:paraId="7FFC78FD">
      <w:pPr>
        <w:pStyle w:val="5"/>
        <w:spacing w:before="0" w:beforeAutospacing="0" w:after="0" w:afterAutospacing="0" w:line="560" w:lineRule="exact"/>
        <w:ind w:firstLine="640" w:firstLineChars="200"/>
        <w:jc w:val="both"/>
        <w:rPr>
          <w:rFonts w:ascii="仿宋_GB2312" w:hAnsi="华文仿宋" w:eastAsia="仿宋_GB2312"/>
          <w:color w:val="auto"/>
          <w:sz w:val="32"/>
          <w:szCs w:val="32"/>
          <w:highlight w:val="cyan"/>
        </w:rPr>
      </w:pPr>
      <w:r>
        <w:rPr>
          <w:rFonts w:hint="eastAsia" w:ascii="仿宋_GB2312" w:hAnsi="华文仿宋" w:eastAsia="仿宋_GB2312" w:cs="Times New Roman"/>
          <w:color w:val="auto"/>
          <w:kern w:val="2"/>
          <w:sz w:val="32"/>
          <w:szCs w:val="32"/>
        </w:rPr>
        <w:t>2021年本单无</w:t>
      </w:r>
      <w:r>
        <w:rPr>
          <w:rFonts w:hint="eastAsia" w:ascii="仿宋_GB2312" w:hAnsi="华文仿宋" w:eastAsia="仿宋_GB2312"/>
          <w:bCs/>
          <w:color w:val="auto"/>
          <w:sz w:val="32"/>
          <w:szCs w:val="32"/>
        </w:rPr>
        <w:t>政府性基金预算支出安排</w:t>
      </w:r>
      <w:r>
        <w:rPr>
          <w:rFonts w:hint="eastAsia" w:ascii="仿宋_GB2312" w:hAnsi="华文仿宋" w:eastAsia="仿宋_GB2312" w:cs="Times New Roman"/>
          <w:color w:val="auto"/>
          <w:kern w:val="2"/>
          <w:sz w:val="32"/>
          <w:szCs w:val="32"/>
        </w:rPr>
        <w:t>。</w:t>
      </w:r>
    </w:p>
    <w:p w14:paraId="26E5E061">
      <w:pPr>
        <w:tabs>
          <w:tab w:val="center" w:pos="4475"/>
        </w:tabs>
        <w:spacing w:line="560" w:lineRule="exact"/>
        <w:ind w:firstLine="643"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九、国有资本经营预算情况说明</w:t>
      </w:r>
    </w:p>
    <w:p w14:paraId="45A641C5">
      <w:pPr>
        <w:pStyle w:val="5"/>
        <w:spacing w:before="0" w:beforeAutospacing="0" w:after="0" w:afterAutospacing="0" w:line="560" w:lineRule="exact"/>
        <w:ind w:firstLine="640" w:firstLineChars="200"/>
        <w:jc w:val="both"/>
        <w:rPr>
          <w:rFonts w:ascii="仿宋_GB2312" w:hAnsi="华文仿宋" w:eastAsia="仿宋_GB2312"/>
          <w:bCs/>
          <w:color w:val="auto"/>
          <w:sz w:val="32"/>
          <w:szCs w:val="32"/>
        </w:rPr>
      </w:pPr>
      <w:r>
        <w:rPr>
          <w:rFonts w:hint="eastAsia" w:ascii="仿宋_GB2312" w:hAnsi="华文仿宋" w:eastAsia="仿宋_GB2312" w:cs="Times New Roman"/>
          <w:color w:val="auto"/>
          <w:kern w:val="2"/>
          <w:sz w:val="32"/>
          <w:szCs w:val="32"/>
        </w:rPr>
        <w:t>2021年本单位无</w:t>
      </w:r>
      <w:r>
        <w:rPr>
          <w:rFonts w:hint="eastAsia" w:ascii="仿宋_GB2312" w:hAnsi="华文仿宋" w:eastAsia="仿宋_GB2312"/>
          <w:bCs/>
          <w:color w:val="auto"/>
          <w:sz w:val="32"/>
          <w:szCs w:val="32"/>
        </w:rPr>
        <w:t>国有资本经营预算支出安排。</w:t>
      </w:r>
    </w:p>
    <w:p w14:paraId="445C7420">
      <w:pPr>
        <w:tabs>
          <w:tab w:val="center" w:pos="4475"/>
        </w:tabs>
        <w:spacing w:line="560" w:lineRule="exact"/>
        <w:ind w:firstLine="643"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十、政府采购预算情况说明</w:t>
      </w:r>
    </w:p>
    <w:p w14:paraId="51ECCA67">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2021年政府采购预算1.0万元，与上年持平。</w:t>
      </w:r>
    </w:p>
    <w:p w14:paraId="27A50790">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（一）按政府采购项目类型划分</w:t>
      </w:r>
    </w:p>
    <w:p w14:paraId="61B497FE">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政府集中采购预算1.0万元,占政府采购预算的100%，与上年持平。</w:t>
      </w:r>
    </w:p>
    <w:p w14:paraId="5C2F6D71">
      <w:pPr>
        <w:spacing w:line="560" w:lineRule="exact"/>
        <w:ind w:firstLine="480" w:firstLineChars="150"/>
        <w:rPr>
          <w:rFonts w:ascii="仿宋_GB2312" w:hAnsi="华文仿宋" w:eastAsia="仿宋_GB2312"/>
          <w:color w:val="auto"/>
          <w:sz w:val="32"/>
          <w:szCs w:val="32"/>
        </w:rPr>
      </w:pPr>
      <w:r>
        <w:rPr>
          <w:rFonts w:hint="eastAsia" w:ascii="仿宋_GB2312" w:hAnsi="华文仿宋" w:eastAsia="仿宋_GB2312" w:cs="宋体"/>
          <w:bCs/>
          <w:color w:val="auto"/>
          <w:kern w:val="0"/>
          <w:sz w:val="32"/>
          <w:szCs w:val="32"/>
        </w:rPr>
        <w:t>（二）</w:t>
      </w:r>
      <w:r>
        <w:rPr>
          <w:rFonts w:hint="eastAsia" w:ascii="仿宋_GB2312" w:hAnsi="华文仿宋" w:eastAsia="仿宋_GB2312"/>
          <w:color w:val="auto"/>
          <w:sz w:val="32"/>
          <w:szCs w:val="32"/>
        </w:rPr>
        <w:t>按政府采购资金来源划分</w:t>
      </w:r>
    </w:p>
    <w:p w14:paraId="13ADD8CF">
      <w:pPr>
        <w:spacing w:line="560" w:lineRule="exact"/>
        <w:ind w:firstLine="640" w:firstLineChars="200"/>
        <w:rPr>
          <w:rFonts w:ascii="仿宋_GB2312" w:hAnsi="华文仿宋" w:eastAsia="仿宋_GB2312"/>
          <w:color w:val="auto"/>
          <w:sz w:val="32"/>
          <w:szCs w:val="32"/>
          <w:highlight w:val="cyan"/>
        </w:rPr>
      </w:pPr>
      <w:r>
        <w:rPr>
          <w:rFonts w:hint="eastAsia" w:ascii="仿宋_GB2312" w:hAnsi="华文仿宋" w:eastAsia="仿宋_GB2312"/>
          <w:color w:val="auto"/>
          <w:sz w:val="32"/>
          <w:szCs w:val="32"/>
        </w:rPr>
        <w:t>2021年政府采购预算1.0万元，全部通过一般公共预算安排。</w:t>
      </w:r>
    </w:p>
    <w:p w14:paraId="361592F1">
      <w:pPr>
        <w:tabs>
          <w:tab w:val="center" w:pos="4475"/>
        </w:tabs>
        <w:spacing w:line="560" w:lineRule="exact"/>
        <w:ind w:firstLine="643" w:firstLineChars="200"/>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十一、政府购买服务预算情况说明</w:t>
      </w:r>
    </w:p>
    <w:p w14:paraId="2A3F8DE1">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2021年本单位无政府购买服务预算。</w:t>
      </w:r>
    </w:p>
    <w:p w14:paraId="397B0C6C">
      <w:pPr>
        <w:pStyle w:val="5"/>
        <w:spacing w:before="0" w:beforeAutospacing="0" w:after="0" w:afterAutospacing="0" w:line="560" w:lineRule="exact"/>
        <w:ind w:firstLine="643" w:firstLineChars="200"/>
        <w:jc w:val="both"/>
        <w:rPr>
          <w:rFonts w:ascii="黑体" w:hAnsi="黑体" w:eastAsia="黑体" w:cs="黑体"/>
          <w:b/>
          <w:bCs/>
          <w:color w:val="auto"/>
          <w:sz w:val="32"/>
          <w:szCs w:val="32"/>
        </w:rPr>
      </w:pPr>
      <w:r>
        <w:rPr>
          <w:rFonts w:hint="eastAsia" w:ascii="黑体" w:hAnsi="黑体" w:eastAsia="黑体" w:cs="黑体"/>
          <w:b/>
          <w:bCs/>
          <w:color w:val="auto"/>
          <w:sz w:val="32"/>
          <w:szCs w:val="32"/>
        </w:rPr>
        <w:t>十二、2021年单位预算其他</w:t>
      </w:r>
      <w:r>
        <w:rPr>
          <w:rFonts w:hint="eastAsia" w:ascii="黑体" w:hAnsi="黑体" w:eastAsia="黑体" w:cs="黑体"/>
          <w:b/>
          <w:bCs/>
          <w:strike/>
          <w:color w:val="auto"/>
          <w:sz w:val="32"/>
          <w:szCs w:val="32"/>
        </w:rPr>
        <w:t>重要</w:t>
      </w:r>
      <w:r>
        <w:rPr>
          <w:rFonts w:hint="eastAsia" w:ascii="黑体" w:hAnsi="黑体" w:eastAsia="黑体" w:cs="黑体"/>
          <w:b/>
          <w:bCs/>
          <w:color w:val="auto"/>
          <w:sz w:val="32"/>
          <w:szCs w:val="32"/>
        </w:rPr>
        <w:t>事项情况说明</w:t>
      </w:r>
    </w:p>
    <w:p w14:paraId="4E26EB29">
      <w:pPr>
        <w:tabs>
          <w:tab w:val="center" w:pos="4475"/>
        </w:tabs>
        <w:spacing w:line="560" w:lineRule="exact"/>
        <w:ind w:firstLine="645"/>
        <w:rPr>
          <w:rFonts w:ascii="仿宋_GB2312" w:hAnsi="华文仿宋" w:eastAsia="仿宋_GB2312"/>
          <w:color w:val="auto"/>
          <w:sz w:val="32"/>
          <w:szCs w:val="32"/>
          <w:highlight w:val="cyan"/>
        </w:rPr>
      </w:pPr>
      <w:r>
        <w:rPr>
          <w:rFonts w:hint="eastAsia" w:ascii="楷体_GB2312" w:hAnsi="华文仿宋" w:eastAsia="楷体_GB2312"/>
          <w:b/>
          <w:color w:val="auto"/>
          <w:sz w:val="32"/>
          <w:szCs w:val="32"/>
        </w:rPr>
        <w:t>（一）机关运行经费安排情况说明</w:t>
      </w:r>
    </w:p>
    <w:p w14:paraId="30C44909">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2021年行政运行预算23.41万元，同比增加0.6万元，同比增长2.6%，主要用于</w:t>
      </w:r>
      <w:r>
        <w:rPr>
          <w:rFonts w:hint="eastAsia" w:ascii="仿宋_GB2312" w:hAnsi="华文仿宋" w:eastAsia="仿宋_GB2312"/>
          <w:color w:val="auto"/>
          <w:sz w:val="32"/>
          <w:szCs w:val="32"/>
        </w:rPr>
        <w:t>办公、差旅、会议、培训、接待等日常公用支出。</w:t>
      </w:r>
      <w:r>
        <w:rPr>
          <w:rFonts w:hint="eastAsia" w:ascii="仿宋_GB2312" w:hAnsi="华文仿宋" w:eastAsia="仿宋_GB2312" w:cs="宋体"/>
          <w:bCs/>
          <w:color w:val="auto"/>
          <w:kern w:val="0"/>
          <w:sz w:val="32"/>
          <w:szCs w:val="32"/>
        </w:rPr>
        <w:t>行政运行经费增加的原因主要是：</w:t>
      </w:r>
      <w:r>
        <w:rPr>
          <w:rFonts w:hint="eastAsia" w:ascii="仿宋_GB2312" w:hAnsi="华文仿宋" w:eastAsia="仿宋_GB2312"/>
          <w:color w:val="auto"/>
          <w:sz w:val="32"/>
          <w:szCs w:val="32"/>
        </w:rPr>
        <w:t>单位人员职务、职级晋升</w:t>
      </w:r>
      <w:r>
        <w:rPr>
          <w:rFonts w:hint="eastAsia" w:ascii="仿宋_GB2312" w:hAnsi="华文仿宋" w:eastAsia="仿宋_GB2312" w:cs="宋体"/>
          <w:bCs/>
          <w:color w:val="auto"/>
          <w:kern w:val="0"/>
          <w:sz w:val="32"/>
          <w:szCs w:val="32"/>
        </w:rPr>
        <w:t>，导致</w:t>
      </w:r>
      <w:r>
        <w:rPr>
          <w:rFonts w:hint="eastAsia" w:ascii="仿宋_GB2312" w:hAnsi="华文仿宋" w:eastAsia="仿宋_GB2312"/>
          <w:color w:val="auto"/>
          <w:sz w:val="32"/>
          <w:szCs w:val="32"/>
        </w:rPr>
        <w:t>其他交通费用、通讯补贴等公用经费相应增加。</w:t>
      </w:r>
    </w:p>
    <w:p w14:paraId="3ADB54B6">
      <w:pPr>
        <w:pStyle w:val="5"/>
        <w:spacing w:before="0" w:beforeAutospacing="0" w:after="0" w:afterAutospacing="0" w:line="560" w:lineRule="exact"/>
        <w:ind w:firstLine="643" w:firstLineChars="200"/>
        <w:jc w:val="both"/>
        <w:rPr>
          <w:rFonts w:ascii="楷体_GB2312" w:hAnsi="华文仿宋" w:eastAsia="楷体_GB2312"/>
          <w:b/>
          <w:color w:val="auto"/>
          <w:sz w:val="32"/>
          <w:szCs w:val="32"/>
        </w:rPr>
      </w:pPr>
      <w:r>
        <w:rPr>
          <w:rFonts w:hint="eastAsia" w:ascii="楷体_GB2312" w:hAnsi="华文仿宋" w:eastAsia="楷体_GB2312"/>
          <w:b/>
          <w:color w:val="auto"/>
          <w:sz w:val="32"/>
          <w:szCs w:val="32"/>
        </w:rPr>
        <w:t>（二）国有资产占用情况说明</w:t>
      </w:r>
    </w:p>
    <w:p w14:paraId="187C91A7">
      <w:pPr>
        <w:spacing w:line="560" w:lineRule="exact"/>
        <w:ind w:firstLine="640" w:firstLineChars="200"/>
        <w:rPr>
          <w:rFonts w:ascii="仿宋_GB2312" w:hAnsi="华文仿宋" w:eastAsia="仿宋_GB2312" w:cs="宋体"/>
          <w:bCs/>
          <w:color w:val="auto"/>
          <w:kern w:val="0"/>
          <w:sz w:val="32"/>
          <w:szCs w:val="32"/>
        </w:rPr>
      </w:pPr>
      <w:r>
        <w:rPr>
          <w:rFonts w:hint="eastAsia" w:ascii="仿宋_GB2312" w:hAnsi="华文仿宋" w:eastAsia="仿宋_GB2312" w:cs="宋体"/>
          <w:bCs/>
          <w:color w:val="auto"/>
          <w:kern w:val="0"/>
          <w:sz w:val="32"/>
          <w:szCs w:val="32"/>
        </w:rPr>
        <w:t>2021年本单位无在编车辆。</w:t>
      </w:r>
    </w:p>
    <w:p w14:paraId="479E1600">
      <w:pPr>
        <w:tabs>
          <w:tab w:val="center" w:pos="4475"/>
        </w:tabs>
        <w:spacing w:line="560" w:lineRule="exact"/>
        <w:ind w:firstLine="645"/>
        <w:rPr>
          <w:rFonts w:ascii="楷体_GB2312" w:hAnsi="华文仿宋" w:eastAsia="楷体_GB2312"/>
          <w:b/>
          <w:color w:val="auto"/>
          <w:sz w:val="32"/>
          <w:szCs w:val="32"/>
        </w:rPr>
      </w:pPr>
      <w:r>
        <w:rPr>
          <w:rFonts w:hint="eastAsia" w:ascii="楷体_GB2312" w:hAnsi="华文仿宋" w:eastAsia="楷体_GB2312"/>
          <w:b/>
          <w:color w:val="auto"/>
          <w:sz w:val="32"/>
          <w:szCs w:val="32"/>
        </w:rPr>
        <w:t>（三）200万元以上项目预算绩效情况说明</w:t>
      </w:r>
    </w:p>
    <w:p w14:paraId="23027AF2">
      <w:pPr>
        <w:spacing w:line="560" w:lineRule="exact"/>
        <w:ind w:firstLine="640" w:firstLineChars="200"/>
        <w:rPr>
          <w:rFonts w:ascii="仿宋_GB2312" w:hAnsi="华文仿宋" w:eastAsia="仿宋_GB2312"/>
          <w:b/>
          <w:bCs/>
          <w:color w:val="auto"/>
          <w:sz w:val="32"/>
          <w:szCs w:val="32"/>
        </w:rPr>
      </w:pPr>
      <w:r>
        <w:rPr>
          <w:rFonts w:hint="eastAsia" w:ascii="仿宋_GB2312" w:hAnsi="华文仿宋" w:eastAsia="仿宋_GB2312" w:cs="宋体"/>
          <w:bCs/>
          <w:color w:val="auto"/>
          <w:kern w:val="0"/>
          <w:sz w:val="32"/>
          <w:szCs w:val="32"/>
        </w:rPr>
        <w:t>本单位2021年单位预算无200万元以上的项目列入绩效考核范围。</w:t>
      </w:r>
    </w:p>
    <w:p w14:paraId="446D762F">
      <w:pPr>
        <w:adjustRightInd w:val="0"/>
        <w:snapToGrid w:val="0"/>
        <w:spacing w:line="560" w:lineRule="exact"/>
        <w:ind w:right="-218" w:rightChars="-104"/>
        <w:jc w:val="center"/>
        <w:rPr>
          <w:rStyle w:val="8"/>
          <w:rFonts w:ascii="仿宋_GB2312" w:hAnsi="华文仿宋" w:eastAsia="仿宋_GB2312"/>
          <w:color w:val="auto"/>
          <w:sz w:val="32"/>
          <w:szCs w:val="32"/>
        </w:rPr>
      </w:pPr>
    </w:p>
    <w:p w14:paraId="4AF7F550">
      <w:pPr>
        <w:adjustRightInd w:val="0"/>
        <w:snapToGrid w:val="0"/>
        <w:spacing w:line="560" w:lineRule="exact"/>
        <w:ind w:right="-218" w:rightChars="-104"/>
        <w:jc w:val="center"/>
        <w:rPr>
          <w:rStyle w:val="8"/>
          <w:rFonts w:ascii="仿宋_GB2312" w:hAnsi="华文仿宋" w:eastAsia="仿宋_GB2312"/>
          <w:color w:val="auto"/>
          <w:sz w:val="32"/>
          <w:szCs w:val="32"/>
        </w:rPr>
      </w:pPr>
      <w:r>
        <w:rPr>
          <w:rStyle w:val="8"/>
          <w:rFonts w:hint="eastAsia" w:ascii="仿宋_GB2312" w:hAnsi="华文仿宋" w:eastAsia="仿宋_GB2312"/>
          <w:color w:val="auto"/>
          <w:sz w:val="32"/>
          <w:szCs w:val="32"/>
        </w:rPr>
        <w:t>第四部分：名词解释</w:t>
      </w:r>
    </w:p>
    <w:p w14:paraId="7176C627">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一、财政拨款收入</w:t>
      </w:r>
      <w:r>
        <w:rPr>
          <w:rFonts w:hint="eastAsia" w:ascii="仿宋_GB2312" w:hAnsi="华文仿宋" w:eastAsia="仿宋_GB2312" w:cs="宋体"/>
          <w:bCs/>
          <w:color w:val="auto"/>
          <w:kern w:val="0"/>
          <w:sz w:val="32"/>
          <w:szCs w:val="32"/>
        </w:rPr>
        <w:t xml:space="preserve">：指市本级财政部门当年拨付的资金。 </w:t>
      </w:r>
    </w:p>
    <w:p w14:paraId="3F20F6F9">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二、事业收入</w:t>
      </w:r>
      <w:r>
        <w:rPr>
          <w:rFonts w:hint="eastAsia" w:ascii="仿宋_GB2312" w:hAnsi="华文仿宋" w:eastAsia="仿宋_GB2312" w:cs="宋体"/>
          <w:bCs/>
          <w:color w:val="auto"/>
          <w:kern w:val="0"/>
          <w:sz w:val="32"/>
          <w:szCs w:val="32"/>
        </w:rPr>
        <w:t>：指事业单位开展专业业务活动及辅助活动所取得的收入。</w:t>
      </w:r>
    </w:p>
    <w:p w14:paraId="2355B021">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三、经营收入</w:t>
      </w:r>
      <w:r>
        <w:rPr>
          <w:rFonts w:hint="eastAsia" w:ascii="仿宋_GB2312" w:hAnsi="华文仿宋" w:eastAsia="仿宋_GB2312" w:cs="宋体"/>
          <w:bCs/>
          <w:color w:val="auto"/>
          <w:kern w:val="0"/>
          <w:sz w:val="32"/>
          <w:szCs w:val="32"/>
        </w:rPr>
        <w:t>：指事业单位在专业业务活动及其辅助活动之外开展非独立核算经营活动取得的收入。</w:t>
      </w:r>
    </w:p>
    <w:p w14:paraId="3A187D9B">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四、其他收入</w:t>
      </w:r>
      <w:r>
        <w:rPr>
          <w:rFonts w:hint="eastAsia" w:ascii="仿宋_GB2312" w:hAnsi="华文仿宋" w:eastAsia="仿宋_GB2312" w:cs="宋体"/>
          <w:bCs/>
          <w:color w:val="auto"/>
          <w:kern w:val="0"/>
          <w:sz w:val="32"/>
          <w:szCs w:val="32"/>
        </w:rPr>
        <w:t>：指除上述“财政拨款收入”“事业收入”“经营收入”等以外的收入。</w:t>
      </w:r>
    </w:p>
    <w:p w14:paraId="3F635FAE">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五、基本支出</w:t>
      </w:r>
      <w:r>
        <w:rPr>
          <w:rFonts w:hint="eastAsia" w:ascii="仿宋_GB2312" w:hAnsi="华文仿宋" w:eastAsia="仿宋_GB2312" w:cs="宋体"/>
          <w:bCs/>
          <w:color w:val="auto"/>
          <w:kern w:val="0"/>
          <w:sz w:val="32"/>
          <w:szCs w:val="32"/>
        </w:rPr>
        <w:t>：指为保障机构正常运转、完成日常工作任务而发生的人员支出和公用支出。</w:t>
      </w:r>
    </w:p>
    <w:p w14:paraId="45A66695">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六、项目支出</w:t>
      </w:r>
      <w:r>
        <w:rPr>
          <w:rFonts w:hint="eastAsia" w:ascii="仿宋_GB2312" w:hAnsi="华文仿宋" w:eastAsia="仿宋_GB2312" w:cs="宋体"/>
          <w:bCs/>
          <w:color w:val="auto"/>
          <w:kern w:val="0"/>
          <w:sz w:val="32"/>
          <w:szCs w:val="32"/>
        </w:rPr>
        <w:t xml:space="preserve">：指在基本支出之外为完成特定行政任务和事业发展目标所发生的支出。  </w:t>
      </w:r>
    </w:p>
    <w:p w14:paraId="742A8742">
      <w:pPr>
        <w:spacing w:line="560" w:lineRule="exact"/>
        <w:ind w:firstLine="643" w:firstLineChars="200"/>
        <w:rPr>
          <w:rFonts w:ascii="仿宋_GB2312" w:hAnsi="华文仿宋" w:eastAsia="仿宋_GB2312" w:cs="宋体"/>
          <w:bCs/>
          <w:color w:val="auto"/>
          <w:kern w:val="0"/>
          <w:sz w:val="32"/>
          <w:szCs w:val="32"/>
        </w:rPr>
      </w:pPr>
      <w:r>
        <w:rPr>
          <w:rFonts w:hint="eastAsia" w:ascii="黑体" w:hAnsi="黑体" w:eastAsia="黑体" w:cs="黑体"/>
          <w:b/>
          <w:bCs/>
          <w:color w:val="auto"/>
          <w:kern w:val="0"/>
          <w:sz w:val="32"/>
          <w:szCs w:val="32"/>
        </w:rPr>
        <w:t>七、“三公”经费</w:t>
      </w:r>
      <w:r>
        <w:rPr>
          <w:rFonts w:hint="eastAsia" w:ascii="仿宋_GB2312" w:hAnsi="华文仿宋" w:eastAsia="仿宋_GB2312" w:cs="宋体"/>
          <w:bCs/>
          <w:color w:val="auto"/>
          <w:kern w:val="0"/>
          <w:sz w:val="32"/>
          <w:szCs w:val="32"/>
        </w:rPr>
        <w:t>：纳入市财政预决算管理的“三公”经费，是</w:t>
      </w:r>
      <w:r>
        <w:rPr>
          <w:rFonts w:hint="eastAsia" w:ascii="仿宋_GB2312" w:hAnsi="仿宋_GB2312" w:eastAsia="仿宋_GB2312" w:cs="仿宋_GB2312"/>
          <w:bCs/>
          <w:color w:val="auto"/>
          <w:kern w:val="0"/>
          <w:sz w:val="32"/>
          <w:szCs w:val="32"/>
        </w:rPr>
        <w:t>指市</w:t>
      </w:r>
      <w:r>
        <w:rPr>
          <w:rFonts w:hint="eastAsia" w:ascii="仿宋_GB2312" w:hAnsi="仿宋_GB2312" w:eastAsia="仿宋_GB2312" w:cs="仿宋_GB2312"/>
          <w:color w:val="auto"/>
          <w:sz w:val="32"/>
          <w:szCs w:val="32"/>
        </w:rPr>
        <w:t>本级各部门用财政拨款安排的因公出国（境）费、公务用车购置及运行费和公务接待费。</w:t>
      </w:r>
      <w:r>
        <w:rPr>
          <w:rFonts w:hint="eastAsia" w:ascii="仿宋_GB2312" w:hAnsi="华文仿宋" w:eastAsia="仿宋_GB2312" w:cs="宋体"/>
          <w:bCs/>
          <w:color w:val="auto"/>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420E927">
      <w:pPr>
        <w:spacing w:line="560" w:lineRule="exact"/>
        <w:ind w:firstLine="643" w:firstLineChars="200"/>
        <w:rPr>
          <w:rFonts w:ascii="仿宋_GB2312" w:hAnsi="华文仿宋" w:eastAsia="仿宋_GB2312"/>
          <w:color w:val="auto"/>
          <w:sz w:val="32"/>
          <w:szCs w:val="32"/>
        </w:rPr>
      </w:pPr>
      <w:r>
        <w:rPr>
          <w:rFonts w:hint="eastAsia" w:ascii="黑体" w:hAnsi="黑体" w:eastAsia="黑体" w:cs="黑体"/>
          <w:b/>
          <w:bCs/>
          <w:color w:val="auto"/>
          <w:kern w:val="0"/>
          <w:sz w:val="32"/>
          <w:szCs w:val="32"/>
        </w:rPr>
        <w:t>八、机关运行经费</w:t>
      </w:r>
      <w:r>
        <w:rPr>
          <w:rFonts w:hint="eastAsia" w:ascii="仿宋_GB2312" w:hAnsi="华文仿宋" w:eastAsia="仿宋_GB2312" w:cs="宋体"/>
          <w:bCs/>
          <w:color w:val="auto"/>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ADB78C">
      <w:pPr>
        <w:spacing w:line="560" w:lineRule="exact"/>
        <w:ind w:firstLine="640" w:firstLineChars="200"/>
        <w:rPr>
          <w:rFonts w:ascii="仿宋_GB2312" w:hAnsi="华文仿宋" w:eastAsia="仿宋_GB2312"/>
          <w:color w:val="auto"/>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160ACD-3C8C-4504-8F16-C40C82E5D4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8B67FEF-8311-455E-A881-D0EA28198E6D}"/>
  </w:font>
  <w:font w:name="华文仿宋">
    <w:panose1 w:val="02010600040101010101"/>
    <w:charset w:val="86"/>
    <w:family w:val="auto"/>
    <w:pitch w:val="default"/>
    <w:sig w:usb0="00000287" w:usb1="080F0000" w:usb2="00000000" w:usb3="00000000" w:csb0="0004009F" w:csb1="DFD70000"/>
    <w:embedRegular r:id="rId3" w:fontKey="{99912BEB-119B-4EC4-9A04-76B38335A5F3}"/>
  </w:font>
  <w:font w:name="仿宋_GB2312">
    <w:panose1 w:val="02010609030101010101"/>
    <w:charset w:val="86"/>
    <w:family w:val="modern"/>
    <w:pitch w:val="default"/>
    <w:sig w:usb0="00000001" w:usb1="080E0000" w:usb2="00000000" w:usb3="00000000" w:csb0="00040000" w:csb1="00000000"/>
    <w:embedRegular r:id="rId4" w:fontKey="{AF78E55C-3A04-40DD-B542-3854C08650D1}"/>
  </w:font>
  <w:font w:name="仿宋">
    <w:panose1 w:val="02010609060101010101"/>
    <w:charset w:val="86"/>
    <w:family w:val="modern"/>
    <w:pitch w:val="default"/>
    <w:sig w:usb0="800002BF" w:usb1="38CF7CFA" w:usb2="00000016" w:usb3="00000000" w:csb0="00040001" w:csb1="00000000"/>
    <w:embedRegular r:id="rId5" w:fontKey="{0C10F62D-434D-4217-B19D-7824BFA97B41}"/>
  </w:font>
  <w:font w:name="楷体_GB2312">
    <w:panose1 w:val="02010609030101010101"/>
    <w:charset w:val="86"/>
    <w:family w:val="modern"/>
    <w:pitch w:val="default"/>
    <w:sig w:usb0="00000001" w:usb1="080E0000" w:usb2="00000000" w:usb3="00000000" w:csb0="00040000" w:csb1="00000000"/>
    <w:embedRegular r:id="rId6" w:fontKey="{4D4A8C8F-A40D-4718-9681-92D9E37B8E7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31A9">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2ED4C31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0487">
    <w:pPr>
      <w:pStyle w:val="3"/>
      <w:framePr w:wrap="around" w:vAnchor="text" w:hAnchor="margin" w:xAlign="center" w:y="1"/>
      <w:rPr>
        <w:rStyle w:val="9"/>
      </w:rPr>
    </w:pPr>
    <w:r>
      <w:fldChar w:fldCharType="begin"/>
    </w:r>
    <w:r>
      <w:rPr>
        <w:rStyle w:val="9"/>
      </w:rPr>
      <w:instrText xml:space="preserve">PAGE  </w:instrText>
    </w:r>
    <w:r>
      <w:fldChar w:fldCharType="end"/>
    </w:r>
  </w:p>
  <w:p w14:paraId="79728F7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3FD"/>
    <w:multiLevelType w:val="singleLevel"/>
    <w:tmpl w:val="E8F683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077D"/>
    <w:rsid w:val="00002343"/>
    <w:rsid w:val="00006680"/>
    <w:rsid w:val="000100E5"/>
    <w:rsid w:val="0001015B"/>
    <w:rsid w:val="0001077D"/>
    <w:rsid w:val="000412D2"/>
    <w:rsid w:val="000416A4"/>
    <w:rsid w:val="00076A68"/>
    <w:rsid w:val="000904A8"/>
    <w:rsid w:val="000E06A3"/>
    <w:rsid w:val="000E50D7"/>
    <w:rsid w:val="00111B63"/>
    <w:rsid w:val="001126A3"/>
    <w:rsid w:val="001156AF"/>
    <w:rsid w:val="00117C29"/>
    <w:rsid w:val="00121B93"/>
    <w:rsid w:val="00137852"/>
    <w:rsid w:val="00137B7F"/>
    <w:rsid w:val="0016696D"/>
    <w:rsid w:val="001A3F70"/>
    <w:rsid w:val="001B53F9"/>
    <w:rsid w:val="001C1E1B"/>
    <w:rsid w:val="001E40FD"/>
    <w:rsid w:val="00252B72"/>
    <w:rsid w:val="002555D3"/>
    <w:rsid w:val="00280832"/>
    <w:rsid w:val="002923DC"/>
    <w:rsid w:val="00297C6B"/>
    <w:rsid w:val="002B45A1"/>
    <w:rsid w:val="002E55D8"/>
    <w:rsid w:val="002F4A62"/>
    <w:rsid w:val="002F622C"/>
    <w:rsid w:val="00325D5D"/>
    <w:rsid w:val="00332C85"/>
    <w:rsid w:val="00357729"/>
    <w:rsid w:val="00371715"/>
    <w:rsid w:val="003717EE"/>
    <w:rsid w:val="00383B2C"/>
    <w:rsid w:val="00395AAF"/>
    <w:rsid w:val="003A33CD"/>
    <w:rsid w:val="003D3AF9"/>
    <w:rsid w:val="003E5D4B"/>
    <w:rsid w:val="003E6607"/>
    <w:rsid w:val="00417F1E"/>
    <w:rsid w:val="00417F24"/>
    <w:rsid w:val="00420021"/>
    <w:rsid w:val="00445110"/>
    <w:rsid w:val="00464856"/>
    <w:rsid w:val="00472BD7"/>
    <w:rsid w:val="004737A9"/>
    <w:rsid w:val="00480AA5"/>
    <w:rsid w:val="00490BC9"/>
    <w:rsid w:val="004B43E4"/>
    <w:rsid w:val="004C470D"/>
    <w:rsid w:val="004D2AAF"/>
    <w:rsid w:val="004E2CC1"/>
    <w:rsid w:val="00502260"/>
    <w:rsid w:val="005244FF"/>
    <w:rsid w:val="00526EAC"/>
    <w:rsid w:val="00534D87"/>
    <w:rsid w:val="00546AC2"/>
    <w:rsid w:val="0058243A"/>
    <w:rsid w:val="005918CB"/>
    <w:rsid w:val="005B48ED"/>
    <w:rsid w:val="005D2365"/>
    <w:rsid w:val="005D3F56"/>
    <w:rsid w:val="006026B8"/>
    <w:rsid w:val="00620E3A"/>
    <w:rsid w:val="00622A82"/>
    <w:rsid w:val="006322AE"/>
    <w:rsid w:val="0067239F"/>
    <w:rsid w:val="00687A31"/>
    <w:rsid w:val="006A15D8"/>
    <w:rsid w:val="006A243D"/>
    <w:rsid w:val="006F00E2"/>
    <w:rsid w:val="007003E0"/>
    <w:rsid w:val="00773C9F"/>
    <w:rsid w:val="007866B0"/>
    <w:rsid w:val="00786D49"/>
    <w:rsid w:val="007C603E"/>
    <w:rsid w:val="007E51E6"/>
    <w:rsid w:val="00801FD1"/>
    <w:rsid w:val="0082501D"/>
    <w:rsid w:val="00856512"/>
    <w:rsid w:val="008667B3"/>
    <w:rsid w:val="008A3B48"/>
    <w:rsid w:val="008A4980"/>
    <w:rsid w:val="008D4656"/>
    <w:rsid w:val="008D743E"/>
    <w:rsid w:val="008E46D0"/>
    <w:rsid w:val="008E7FBC"/>
    <w:rsid w:val="008F3DAA"/>
    <w:rsid w:val="00903AC6"/>
    <w:rsid w:val="0091707A"/>
    <w:rsid w:val="009401B1"/>
    <w:rsid w:val="009521C0"/>
    <w:rsid w:val="009760B8"/>
    <w:rsid w:val="009763CC"/>
    <w:rsid w:val="00994142"/>
    <w:rsid w:val="009F430F"/>
    <w:rsid w:val="00A029D9"/>
    <w:rsid w:val="00A055B5"/>
    <w:rsid w:val="00A43C32"/>
    <w:rsid w:val="00A5506D"/>
    <w:rsid w:val="00A83DCA"/>
    <w:rsid w:val="00AC6C00"/>
    <w:rsid w:val="00AD4267"/>
    <w:rsid w:val="00AE4366"/>
    <w:rsid w:val="00AE55CC"/>
    <w:rsid w:val="00B23D1C"/>
    <w:rsid w:val="00B37970"/>
    <w:rsid w:val="00B42388"/>
    <w:rsid w:val="00B44A52"/>
    <w:rsid w:val="00B74503"/>
    <w:rsid w:val="00B817F2"/>
    <w:rsid w:val="00B86D49"/>
    <w:rsid w:val="00BC5AF2"/>
    <w:rsid w:val="00BD6E5D"/>
    <w:rsid w:val="00BD717D"/>
    <w:rsid w:val="00BF0F3D"/>
    <w:rsid w:val="00C03236"/>
    <w:rsid w:val="00C07E7E"/>
    <w:rsid w:val="00C12CEC"/>
    <w:rsid w:val="00C24795"/>
    <w:rsid w:val="00C33686"/>
    <w:rsid w:val="00C54A5B"/>
    <w:rsid w:val="00C655C2"/>
    <w:rsid w:val="00C94A7B"/>
    <w:rsid w:val="00CA2FF8"/>
    <w:rsid w:val="00CB6DFD"/>
    <w:rsid w:val="00CE4E69"/>
    <w:rsid w:val="00CE6613"/>
    <w:rsid w:val="00CF184E"/>
    <w:rsid w:val="00CF571F"/>
    <w:rsid w:val="00D038B5"/>
    <w:rsid w:val="00D05BBB"/>
    <w:rsid w:val="00D3715E"/>
    <w:rsid w:val="00D43052"/>
    <w:rsid w:val="00D5248F"/>
    <w:rsid w:val="00D8667A"/>
    <w:rsid w:val="00D9105E"/>
    <w:rsid w:val="00D96E4B"/>
    <w:rsid w:val="00D96F0E"/>
    <w:rsid w:val="00DD187F"/>
    <w:rsid w:val="00E44D5C"/>
    <w:rsid w:val="00E636EE"/>
    <w:rsid w:val="00E85AF6"/>
    <w:rsid w:val="00EA2291"/>
    <w:rsid w:val="00EA28D8"/>
    <w:rsid w:val="00EA294D"/>
    <w:rsid w:val="00EC285C"/>
    <w:rsid w:val="00EE01ED"/>
    <w:rsid w:val="00F31A6D"/>
    <w:rsid w:val="00F40F20"/>
    <w:rsid w:val="00F4396E"/>
    <w:rsid w:val="00F4786E"/>
    <w:rsid w:val="00F556D4"/>
    <w:rsid w:val="00F60C45"/>
    <w:rsid w:val="00F73F0C"/>
    <w:rsid w:val="00F81EF3"/>
    <w:rsid w:val="00F9664F"/>
    <w:rsid w:val="00FB16A6"/>
    <w:rsid w:val="00FB54E6"/>
    <w:rsid w:val="00FE4815"/>
    <w:rsid w:val="01417364"/>
    <w:rsid w:val="01FA2FEC"/>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0A237E"/>
    <w:rsid w:val="0C294B02"/>
    <w:rsid w:val="0D5A0BB9"/>
    <w:rsid w:val="0DC27805"/>
    <w:rsid w:val="0DD73B5E"/>
    <w:rsid w:val="11317328"/>
    <w:rsid w:val="13571B3F"/>
    <w:rsid w:val="13812575"/>
    <w:rsid w:val="13FF2AF3"/>
    <w:rsid w:val="14445BB6"/>
    <w:rsid w:val="14A877D4"/>
    <w:rsid w:val="15E253AE"/>
    <w:rsid w:val="172B30B5"/>
    <w:rsid w:val="187A1758"/>
    <w:rsid w:val="18CE5F64"/>
    <w:rsid w:val="192A0BC5"/>
    <w:rsid w:val="1B485449"/>
    <w:rsid w:val="1BEB1F9C"/>
    <w:rsid w:val="1C6B624E"/>
    <w:rsid w:val="1E197ACB"/>
    <w:rsid w:val="2096605F"/>
    <w:rsid w:val="20BB4AD9"/>
    <w:rsid w:val="20BE114C"/>
    <w:rsid w:val="235D74E2"/>
    <w:rsid w:val="236D69FE"/>
    <w:rsid w:val="2370428E"/>
    <w:rsid w:val="24AC73FA"/>
    <w:rsid w:val="24C61F83"/>
    <w:rsid w:val="25934155"/>
    <w:rsid w:val="259F40C7"/>
    <w:rsid w:val="25CB794D"/>
    <w:rsid w:val="264C3C07"/>
    <w:rsid w:val="26F17381"/>
    <w:rsid w:val="26FD1E10"/>
    <w:rsid w:val="29BE4C72"/>
    <w:rsid w:val="2A514404"/>
    <w:rsid w:val="2AE85906"/>
    <w:rsid w:val="2B2C54B1"/>
    <w:rsid w:val="2C7F1085"/>
    <w:rsid w:val="2C8D55EC"/>
    <w:rsid w:val="2CC15B37"/>
    <w:rsid w:val="2CCB41AB"/>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D4D4930"/>
    <w:rsid w:val="5014753D"/>
    <w:rsid w:val="516A17FF"/>
    <w:rsid w:val="517D4AFD"/>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F3C26AD"/>
    <w:rsid w:val="6FB945A2"/>
    <w:rsid w:val="719031FF"/>
    <w:rsid w:val="71C37E9F"/>
    <w:rsid w:val="721E022A"/>
    <w:rsid w:val="72600398"/>
    <w:rsid w:val="73C27864"/>
    <w:rsid w:val="73E15D88"/>
    <w:rsid w:val="74811636"/>
    <w:rsid w:val="74A6724E"/>
    <w:rsid w:val="752B4C0E"/>
    <w:rsid w:val="75BB6CD3"/>
    <w:rsid w:val="760717B7"/>
    <w:rsid w:val="767673A1"/>
    <w:rsid w:val="768378C7"/>
    <w:rsid w:val="770F2374"/>
    <w:rsid w:val="77360EA3"/>
    <w:rsid w:val="77D80411"/>
    <w:rsid w:val="788E307A"/>
    <w:rsid w:val="793668C3"/>
    <w:rsid w:val="7A0D710E"/>
    <w:rsid w:val="7C4B3399"/>
    <w:rsid w:val="7C590241"/>
    <w:rsid w:val="7D0A1957"/>
    <w:rsid w:val="7E080F3C"/>
    <w:rsid w:val="7EDA281E"/>
    <w:rsid w:val="7EED1761"/>
    <w:rsid w:val="7F0E3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3516</Words>
  <Characters>3902</Characters>
  <Lines>4</Lines>
  <Paragraphs>8</Paragraphs>
  <TotalTime>189</TotalTime>
  <ScaleCrop>false</ScaleCrop>
  <LinksUpToDate>false</LinksUpToDate>
  <CharactersWithSpaces>3965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2021-04-27T09:32:00Z</dcterms:created>
  <dc:creator>黄然</dc:creator>
  <cp:lastModifiedBy>橘生淮南</cp:lastModifiedBy>
  <cp:lastPrinted>2019-02-02T07:43:00Z</cp:lastPrinted>
  <dcterms:modified xsi:type="dcterms:W3CDTF">2025-01-14T06:52:54Z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eyJoZGlkIjoiNjcwZDc2YTcyMTA3YWRkNmYyNzZmYWI5ZjVmMjc4ODciLCJ1c2VySWQiOiIxMDczMjgzMjYxIn0=</vt:lpwstr>
  </property>
  <property fmtid="{D5CDD505-2E9C-101B-9397-08002B2CF9AE}" pid="4" name="ICV">
    <vt:lpwstr>DB56A05B2DDD408F88CFB2C75164CBAC_12</vt:lpwstr>
  </property>
</Properties>
</file>