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0"/>
        <w:jc w:val="center"/>
        <w:rPr>
          <w:rFonts w:hint="default" w:ascii="Helvetica" w:hAnsi="Helvetica" w:eastAsia="Helvetica" w:cs="Helvetica"/>
          <w:i w:val="0"/>
          <w:caps w:val="0"/>
          <w:color w:val="333333"/>
          <w:spacing w:val="0"/>
          <w:sz w:val="24"/>
          <w:szCs w:val="24"/>
        </w:rPr>
      </w:pPr>
      <w:r>
        <w:rPr>
          <w:rFonts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柳州市发展和改革委员会</w:t>
      </w: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2020年部门预算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0"/>
        <w:jc w:val="center"/>
        <w:rPr>
          <w:rFonts w:hint="default" w:ascii="Helvetica" w:hAnsi="Helvetica" w:eastAsia="Helvetica" w:cs="Helvetica"/>
          <w:i w:val="0"/>
          <w:caps w:val="0"/>
          <w:color w:val="333333"/>
          <w:spacing w:val="0"/>
          <w:sz w:val="24"/>
          <w:szCs w:val="24"/>
        </w:rPr>
      </w:pPr>
      <w:r>
        <w:rPr>
          <w:rFonts w:hint="eastAsia" w:ascii="方正小标宋简体" w:hAnsi="方正小标宋简体" w:eastAsia="方正小标宋简体" w:cs="方正小标宋简体"/>
          <w:b/>
          <w:i w:val="0"/>
          <w:caps w:val="0"/>
          <w:color w:val="333333"/>
          <w:spacing w:val="0"/>
          <w:kern w:val="0"/>
          <w:sz w:val="44"/>
          <w:szCs w:val="44"/>
          <w:bdr w:val="none" w:color="auto" w:sz="0" w:space="0"/>
          <w:shd w:val="clear" w:fill="FFFFFF"/>
          <w:lang w:val="en-US" w:eastAsia="zh-CN" w:bidi="ar"/>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Helvetica" w:hAnsi="Helvetica" w:eastAsia="Helvetica" w:cs="Helvetica"/>
          <w:i w:val="0"/>
          <w:caps w:val="0"/>
          <w:color w:val="333333"/>
          <w:spacing w:val="0"/>
          <w:sz w:val="24"/>
          <w:szCs w:val="24"/>
        </w:rPr>
      </w:pPr>
      <w:r>
        <w:rPr>
          <w:rFonts w:hint="eastAsia" w:ascii="方正小标宋简体" w:hAnsi="方正小标宋简体" w:eastAsia="方正小标宋简体" w:cs="方正小标宋简体"/>
          <w:b/>
          <w:i w:val="0"/>
          <w:caps w:val="0"/>
          <w:color w:val="333333"/>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hint="default" w:ascii="Helvetica" w:hAnsi="Helvetica" w:eastAsia="Helvetica" w:cs="Helvetica"/>
          <w:i w:val="0"/>
          <w:caps w:val="0"/>
          <w:color w:val="333333"/>
          <w:spacing w:val="0"/>
          <w:sz w:val="24"/>
          <w:szCs w:val="24"/>
        </w:rPr>
      </w:pPr>
      <w:r>
        <w:rPr>
          <w:rStyle w:val="4"/>
          <w:rFonts w:ascii="仿宋_GB2312" w:hAnsi="Helvetica" w:eastAsia="仿宋_GB2312" w:cs="仿宋_GB2312"/>
          <w:b/>
          <w:i w:val="0"/>
          <w:caps w:val="0"/>
          <w:color w:val="000000"/>
          <w:spacing w:val="0"/>
          <w:sz w:val="32"/>
          <w:szCs w:val="32"/>
          <w:bdr w:val="none" w:color="auto" w:sz="0" w:space="0"/>
          <w:shd w:val="clear" w:fill="FFFFFF"/>
        </w:rPr>
        <w:t>第一部分：部门概况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二、机构设置情况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三、编制现状及人员构成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hint="default" w:ascii="Helvetica" w:hAnsi="Helvetica" w:eastAsia="Helvetica" w:cs="Helvetica"/>
          <w:i w:val="0"/>
          <w:caps w:val="0"/>
          <w:color w:val="333333"/>
          <w:spacing w:val="0"/>
          <w:sz w:val="24"/>
          <w:szCs w:val="24"/>
        </w:rPr>
      </w:pPr>
      <w:r>
        <w:rPr>
          <w:rStyle w:val="4"/>
          <w:rFonts w:hint="eastAsia" w:ascii="仿宋_GB2312" w:hAnsi="Helvetica" w:eastAsia="仿宋_GB2312" w:cs="仿宋_GB2312"/>
          <w:b/>
          <w:i w:val="0"/>
          <w:caps w:val="0"/>
          <w:color w:val="000000"/>
          <w:spacing w:val="0"/>
          <w:sz w:val="32"/>
          <w:szCs w:val="32"/>
          <w:bdr w:val="none" w:color="auto" w:sz="0" w:space="0"/>
          <w:shd w:val="clear" w:fill="FFFFFF"/>
        </w:rPr>
        <w:t>第二部分：柳州市发展和改革委员会2020年部门预算表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一、财政拨款收支总表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二、一般公共预算支出表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三、一般公共预算基本支出表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四、一般公共预算“三公”经费支出表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五、部门收支总表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六、部门收入总表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七、部门支出总表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八、政府性基金预算支出表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九、国有资本经营预算支出表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十、政府采购预算表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十一、政府购买服务预算表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hint="default" w:ascii="Helvetica" w:hAnsi="Helvetica" w:eastAsia="Helvetica" w:cs="Helvetica"/>
          <w:i w:val="0"/>
          <w:caps w:val="0"/>
          <w:color w:val="333333"/>
          <w:spacing w:val="0"/>
          <w:sz w:val="24"/>
          <w:szCs w:val="24"/>
        </w:rPr>
      </w:pPr>
      <w:r>
        <w:rPr>
          <w:rStyle w:val="4"/>
          <w:rFonts w:hint="eastAsia" w:ascii="仿宋_GB2312" w:hAnsi="Helvetica" w:eastAsia="仿宋_GB2312" w:cs="仿宋_GB2312"/>
          <w:b/>
          <w:i w:val="0"/>
          <w:caps w:val="0"/>
          <w:color w:val="000000"/>
          <w:spacing w:val="0"/>
          <w:sz w:val="32"/>
          <w:szCs w:val="32"/>
          <w:bdr w:val="none" w:color="auto" w:sz="0" w:space="0"/>
          <w:shd w:val="clear" w:fill="FFFFFF"/>
        </w:rPr>
        <w:t>第三部分：2020年部门预算情况说明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hint="default" w:ascii="Helvetica" w:hAnsi="Helvetica" w:eastAsia="Helvetica" w:cs="Helvetica"/>
          <w:i w:val="0"/>
          <w:caps w:val="0"/>
          <w:color w:val="333333"/>
          <w:spacing w:val="0"/>
          <w:sz w:val="24"/>
          <w:szCs w:val="24"/>
        </w:rPr>
      </w:pPr>
      <w:r>
        <w:rPr>
          <w:rStyle w:val="4"/>
          <w:rFonts w:hint="eastAsia" w:ascii="仿宋_GB2312" w:hAnsi="Helvetica" w:eastAsia="仿宋_GB2312" w:cs="仿宋_GB2312"/>
          <w:b/>
          <w:i w:val="0"/>
          <w:caps w:val="0"/>
          <w:color w:val="000000"/>
          <w:spacing w:val="0"/>
          <w:sz w:val="32"/>
          <w:szCs w:val="32"/>
          <w:bdr w:val="none" w:color="auto" w:sz="0" w:space="0"/>
          <w:shd w:val="clear" w:fill="FFFFFF"/>
        </w:rPr>
        <w:t>第四部分：名词解释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hint="default" w:ascii="Helvetica" w:hAnsi="Helvetica" w:eastAsia="Helvetica" w:cs="Helvetica"/>
          <w:i w:val="0"/>
          <w:caps w:val="0"/>
          <w:color w:val="333333"/>
          <w:spacing w:val="0"/>
          <w:sz w:val="24"/>
          <w:szCs w:val="24"/>
        </w:rPr>
      </w:pPr>
      <w:r>
        <w:rPr>
          <w:rStyle w:val="4"/>
          <w:rFonts w:hint="eastAsia" w:ascii="仿宋_GB2312" w:hAnsi="Helvetica" w:eastAsia="仿宋_GB2312" w:cs="仿宋_GB2312"/>
          <w:b/>
          <w:i w:val="0"/>
          <w:caps w:val="0"/>
          <w:color w:val="000000"/>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i w:val="0"/>
          <w:caps w:val="0"/>
          <w:color w:val="000000"/>
          <w:spacing w:val="0"/>
          <w:kern w:val="0"/>
          <w:sz w:val="32"/>
          <w:szCs w:val="32"/>
          <w:bdr w:val="none" w:color="auto" w:sz="0" w:space="0"/>
          <w:shd w:val="clear" w:fill="FFFFFF"/>
          <w:lang w:val="en-US" w:eastAsia="zh-CN" w:bidi="ar"/>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218" w:firstLine="0"/>
        <w:jc w:val="center"/>
        <w:rPr>
          <w:rFonts w:hint="default" w:ascii="Helvetica" w:hAnsi="Helvetica" w:eastAsia="Helvetica" w:cs="Helvetica"/>
          <w:i w:val="0"/>
          <w:caps w:val="0"/>
          <w:color w:val="333333"/>
          <w:spacing w:val="0"/>
          <w:sz w:val="24"/>
          <w:szCs w:val="24"/>
        </w:rPr>
      </w:pPr>
      <w:r>
        <w:rPr>
          <w:rStyle w:val="4"/>
          <w:rFonts w:hint="eastAsia" w:ascii="仿宋_GB2312" w:hAnsi="Helvetica" w:eastAsia="仿宋_GB2312" w:cs="仿宋_GB2312"/>
          <w:b/>
          <w:i w:val="0"/>
          <w:caps w:val="0"/>
          <w:color w:val="000000"/>
          <w:spacing w:val="0"/>
          <w:kern w:val="0"/>
          <w:sz w:val="32"/>
          <w:szCs w:val="32"/>
          <w:bdr w:val="none" w:color="auto" w:sz="0" w:space="0"/>
          <w:shd w:val="clear" w:fill="FFFFFF"/>
          <w:lang w:val="en-US" w:eastAsia="zh-CN" w:bidi="ar"/>
        </w:rPr>
        <w:t>第一部分：柳州市发展和改革委员会概况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218" w:firstLine="640"/>
        <w:jc w:val="center"/>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000000"/>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Helvetica" w:hAnsi="Helvetica" w:eastAsia="Helvetica" w:cs="Helvetica"/>
          <w:i w:val="0"/>
          <w:caps w:val="0"/>
          <w:color w:val="333333"/>
          <w:spacing w:val="0"/>
          <w:sz w:val="24"/>
          <w:szCs w:val="24"/>
        </w:rPr>
      </w:pPr>
      <w:r>
        <w:rPr>
          <w:rStyle w:val="4"/>
          <w:rFonts w:ascii="黑体" w:hAnsi="宋体" w:eastAsia="黑体" w:cs="黑体"/>
          <w:b/>
          <w:i w:val="0"/>
          <w:caps w:val="0"/>
          <w:color w:val="000000"/>
          <w:spacing w:val="0"/>
          <w:sz w:val="32"/>
          <w:szCs w:val="32"/>
          <w:bdr w:val="none" w:color="auto" w:sz="0" w:space="0"/>
          <w:shd w:val="clear" w:fill="FFFFFF"/>
        </w:rPr>
        <w:t>一、主要职责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3"/>
        <w:jc w:val="both"/>
        <w:rPr>
          <w:rFonts w:hint="default" w:ascii="Helvetica" w:hAnsi="Helvetica" w:eastAsia="Helvetica" w:cs="Helvetica"/>
          <w:i w:val="0"/>
          <w:caps w:val="0"/>
          <w:color w:val="333333"/>
          <w:spacing w:val="0"/>
          <w:sz w:val="24"/>
          <w:szCs w:val="24"/>
        </w:rPr>
      </w:pPr>
      <w:r>
        <w:rPr>
          <w:rStyle w:val="4"/>
          <w:rFonts w:ascii="楷体_GB2312" w:hAnsi="Helvetica" w:eastAsia="楷体_GB2312" w:cs="楷体_GB2312"/>
          <w:b/>
          <w:i w:val="0"/>
          <w:caps w:val="0"/>
          <w:color w:val="000000"/>
          <w:spacing w:val="0"/>
          <w:kern w:val="0"/>
          <w:sz w:val="32"/>
          <w:szCs w:val="32"/>
          <w:bdr w:val="none" w:color="auto" w:sz="0" w:space="0"/>
          <w:shd w:val="clear" w:fill="FFFFFF"/>
          <w:lang w:val="en-US" w:eastAsia="zh-CN" w:bidi="ar"/>
        </w:rPr>
        <w:t>（一）《柳州市发展和改革委员会职能配置、内设机构和人员编制规定》属于密件，主要职责属于其中的一部分，不宜公开。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3"/>
        <w:jc w:val="both"/>
        <w:rPr>
          <w:rFonts w:hint="default" w:ascii="Helvetica" w:hAnsi="Helvetica" w:eastAsia="Helvetica" w:cs="Helvetica"/>
          <w:i w:val="0"/>
          <w:caps w:val="0"/>
          <w:color w:val="333333"/>
          <w:spacing w:val="0"/>
          <w:sz w:val="24"/>
          <w:szCs w:val="24"/>
        </w:rPr>
      </w:pPr>
      <w:r>
        <w:rPr>
          <w:rStyle w:val="4"/>
          <w:rFonts w:hint="eastAsia" w:ascii="楷体_GB2312" w:hAnsi="Helvetica" w:eastAsia="楷体_GB2312" w:cs="楷体_GB2312"/>
          <w:b/>
          <w:i w:val="0"/>
          <w:caps w:val="0"/>
          <w:color w:val="000000"/>
          <w:spacing w:val="0"/>
          <w:kern w:val="0"/>
          <w:sz w:val="32"/>
          <w:szCs w:val="32"/>
          <w:bdr w:val="none" w:color="auto" w:sz="0" w:space="0"/>
          <w:shd w:val="clear" w:fill="FFFFFF"/>
          <w:lang w:val="en-US" w:eastAsia="zh-CN" w:bidi="ar"/>
        </w:rPr>
        <w:t>（二）2019年部门机构改革职能变化情况说明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1.</w:t>
      </w:r>
      <w:r>
        <w:rPr>
          <w:rFonts w:hint="eastAsia" w:ascii="仿宋_GB2312" w:hAnsi="Helvetica" w:eastAsia="仿宋_GB2312" w:cs="仿宋_GB2312"/>
          <w:i w:val="0"/>
          <w:caps w:val="0"/>
          <w:color w:val="333333"/>
          <w:spacing w:val="0"/>
          <w:sz w:val="32"/>
          <w:szCs w:val="32"/>
          <w:bdr w:val="none" w:color="auto" w:sz="0" w:space="0"/>
          <w:shd w:val="clear" w:fill="FFFFFF"/>
        </w:rPr>
        <w:t>市物价局及粮食局并入发改委，柳州市信息化建设管理中心划入市大数据发展局。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2.</w:t>
      </w:r>
      <w:r>
        <w:rPr>
          <w:rFonts w:hint="eastAsia" w:ascii="仿宋_GB2312" w:hAnsi="Helvetica" w:eastAsia="仿宋_GB2312" w:cs="仿宋_GB2312"/>
          <w:i w:val="0"/>
          <w:caps w:val="0"/>
          <w:color w:val="333333"/>
          <w:spacing w:val="0"/>
          <w:sz w:val="32"/>
          <w:szCs w:val="32"/>
          <w:bdr w:val="none" w:color="auto" w:sz="0" w:space="0"/>
          <w:shd w:val="clear" w:fill="FFFFFF"/>
        </w:rPr>
        <w:t>市工业和信息化局、市民政局、市商务局组织实施重要物资和应急储备物资收储、轮换和日常管理职责划入市发展和改革委员会，加挂市粮食和物资储备局牌子。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3.</w:t>
      </w:r>
      <w:r>
        <w:rPr>
          <w:rFonts w:hint="eastAsia" w:ascii="仿宋_GB2312" w:hAnsi="Helvetica" w:eastAsia="仿宋_GB2312" w:cs="仿宋_GB2312"/>
          <w:i w:val="0"/>
          <w:caps w:val="0"/>
          <w:color w:val="333333"/>
          <w:spacing w:val="0"/>
          <w:sz w:val="32"/>
          <w:szCs w:val="32"/>
          <w:bdr w:val="none" w:color="auto" w:sz="0" w:space="0"/>
          <w:shd w:val="clear" w:fill="FFFFFF"/>
        </w:rPr>
        <w:t>市发展和改革委员会组织编制主体功能区规划职责划入市自然资源局和规划局。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4.</w:t>
      </w:r>
      <w:r>
        <w:rPr>
          <w:rFonts w:hint="eastAsia" w:ascii="仿宋_GB2312" w:hAnsi="Helvetica" w:eastAsia="仿宋_GB2312" w:cs="仿宋_GB2312"/>
          <w:i w:val="0"/>
          <w:caps w:val="0"/>
          <w:color w:val="333333"/>
          <w:spacing w:val="0"/>
          <w:sz w:val="32"/>
          <w:szCs w:val="32"/>
          <w:bdr w:val="none" w:color="auto" w:sz="0" w:space="0"/>
          <w:shd w:val="clear" w:fill="FFFFFF"/>
        </w:rPr>
        <w:t>市发展和改革委员会应对气候变化和减排职责划入市生态环境局。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5.</w:t>
      </w:r>
      <w:r>
        <w:rPr>
          <w:rFonts w:hint="eastAsia" w:ascii="仿宋_GB2312" w:hAnsi="Helvetica" w:eastAsia="仿宋_GB2312" w:cs="仿宋_GB2312"/>
          <w:i w:val="0"/>
          <w:caps w:val="0"/>
          <w:color w:val="333333"/>
          <w:spacing w:val="0"/>
          <w:sz w:val="32"/>
          <w:szCs w:val="32"/>
          <w:bdr w:val="none" w:color="auto" w:sz="0" w:space="0"/>
          <w:shd w:val="clear" w:fill="FFFFFF"/>
        </w:rPr>
        <w:t>市发展和改革委员会信息化领域有关项目建设、信息资源开发利用与共享管理职责划入市大数据发展局。不再保留设在市发展和改革委员会的市城乡数字化建设办公室、信息化发展科、公共信息资源和信息安全科(市市民卡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6.</w:t>
      </w:r>
      <w:r>
        <w:rPr>
          <w:rFonts w:hint="eastAsia" w:ascii="仿宋_GB2312" w:hAnsi="Helvetica" w:eastAsia="仿宋_GB2312" w:cs="仿宋_GB2312"/>
          <w:i w:val="0"/>
          <w:caps w:val="0"/>
          <w:color w:val="333333"/>
          <w:spacing w:val="0"/>
          <w:sz w:val="32"/>
          <w:szCs w:val="32"/>
          <w:bdr w:val="none" w:color="auto" w:sz="0" w:space="0"/>
          <w:shd w:val="clear" w:fill="FFFFFF"/>
        </w:rPr>
        <w:t>市发展和改革委员会药品和医疗服务价格管理职责划入市医疗保障局。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7.</w:t>
      </w:r>
      <w:r>
        <w:rPr>
          <w:rFonts w:hint="eastAsia" w:ascii="仿宋_GB2312" w:hAnsi="Helvetica" w:eastAsia="仿宋_GB2312" w:cs="仿宋_GB2312"/>
          <w:i w:val="0"/>
          <w:caps w:val="0"/>
          <w:color w:val="333333"/>
          <w:spacing w:val="0"/>
          <w:sz w:val="32"/>
          <w:szCs w:val="32"/>
          <w:bdr w:val="none" w:color="auto" w:sz="0" w:space="0"/>
          <w:shd w:val="clear" w:fill="FFFFFF"/>
        </w:rPr>
        <w:t>市发展和改革委员会深化医药卫生体制改革工作领导小组办公室职责划入市卫生健康委员会。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8.</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市发展和改革委员会农业投资项目管理职责划入市农业农村局。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9.</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市发展和改革委员会重大项目稽察职责划入市审计局，不再保留重大项目稽察办公室。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10.</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市发展和改革委员会价格监督检查与反垄断执法职责划入市市场监督局，不再保留市价格监督检查分局。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11.</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市发展和改革委员会重点项目建设协调职责划入市重点项目建设办公室。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12.</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市发展和改革委员会不再加挂市物价局牌子。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3"/>
        <w:jc w:val="both"/>
        <w:rPr>
          <w:rFonts w:hint="default" w:ascii="Helvetica" w:hAnsi="Helvetica" w:eastAsia="Helvetica" w:cs="Helvetica"/>
          <w:i w:val="0"/>
          <w:caps w:val="0"/>
          <w:color w:val="333333"/>
          <w:spacing w:val="0"/>
          <w:sz w:val="24"/>
          <w:szCs w:val="24"/>
        </w:rPr>
      </w:pPr>
      <w:r>
        <w:rPr>
          <w:rStyle w:val="4"/>
          <w:rFonts w:hint="eastAsia" w:ascii="楷体_GB2312" w:hAnsi="Helvetica" w:eastAsia="楷体_GB2312" w:cs="楷体_GB2312"/>
          <w:b/>
          <w:i w:val="0"/>
          <w:caps w:val="0"/>
          <w:color w:val="000000"/>
          <w:spacing w:val="0"/>
          <w:kern w:val="0"/>
          <w:sz w:val="32"/>
          <w:szCs w:val="32"/>
          <w:bdr w:val="none" w:color="auto" w:sz="0" w:space="0"/>
          <w:shd w:val="clear" w:fill="FFFFFF"/>
          <w:lang w:val="en-US" w:eastAsia="zh-CN" w:bidi="ar"/>
        </w:rPr>
        <w:t>（三）年度主要工作目标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1.认真履行宏观经济管理职能。加强宏观经济运行分析，认真组织起草2020年国民经济和社会发展计划报告，强化计划执行的跟踪检查。加强宏观经济预警研判，强化对地区生产总值核算的</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23</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项支撑指标监控，不断提升经济分析预警能力。统筹抓好发展规划编制实施。做好“十四五”规划纲要编制工作，积极争取将更多柳州重大项目列入国家、自治区“十四五”规划。围绕自治区“南向 北联 东融 西合”全方位对外开放，加快我市涉及西部陆海新通道项目建设，全面融入粤港澳大湾区建设。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2.加快推动产业转型升级。深入贯彻落实全区、全市工业高质量发展大会精神，全力推进233个重大产业项目建设，加快推进上汽变速器自动变速器二期、柳钢特种钢精线深加工、智能轨道交通、装配式建筑产业园、智能电网等项目建设，加快形成汽车、钢铁、机械、化工及日化、轻工等</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5</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大传统产业，高端装备制造业、新一代电子信息技术产业、节能环保产业、生物与制药产业、生产性服务业等</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5</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个新兴产业的“</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5+5</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产业新格局。加快推动宁铁物流园等自治区级现代服务业集聚区发展，积极落实相关项目资金扶持、参与电力市场化交易降费等系列政策。大力推进数字柳州建设，发展数字经济，重点推进大数据产业园（一期）、京东大数据中心等项目建设，强化大数据产业发展载体支撑。加快柳州陆港型国家物流枢纽承载城市和生产服务型国家物流枢纽承载城市建设，重点推进柳州铁路港、传化公路港建设。加快推进洋溪和梅林等重大水利枢纽工程项目建设，实施一批主要支流治理工程以及2020年农村饮水安全巩固提升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3.扎实推进重大项目建设。全力做好投融资工作。强化投资目标任务的精准落实，加强项目储备，按月下达落实投资任务。加强中央预算内投资计划项目综合服务工作。进一步深入实施中央预算内项目投资精细化管理模式，项目下达后以项目开工时限倒逼前期工作管控；继续推进中央投资交叉检查，对中央投资项目推进不力的县区、开发区实行区域限批，倒逼项目进度。围绕推进工业高质量发展，建设现代制造城的战略定位，以建设国际通道的核心枢纽、建设战略支点的实业引擎、建设重要门户的开放高地三大建设为主线，重点策划和储备一批对外交通、城市基础设施、乡村振兴、现代服务业、汽车上下游产业、先进装备制造业、战略性新兴产业等方面的重大项目，形成“开工一批、续建一批、竣工一批、储备一批”的良好格局，进一步拉动我市的重大项目投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4.全面推进城乡融合发展。加快推进柳州—广州铁路、河池—柳州—贺州城际高铁、柳州—三江城际铁路报批工作，争取早日落地建设。加快实施焦柳铁路怀化至柳州段电气化改造等铁路项目，做强做实铁路枢纽，畅通柳州联通珠三角、大西南和东盟国家的物流通道。畅通高速公路网络，加快桂林至柳城、融水至河池、柳州经合山至南宁高速公路建设。积极推进西江黄金水道港口和柳州航空口岸建设，加快柳州港鹿寨港区江口作业区、红花二线船闸建设。补齐农村基础设施建设短板，扎实推进乡乡通二级（或三级）公路工程，竣工罗城至洞头二级公路。实施中心城区道路交通畅通工程，全面提升中心城区基础设施密度，加快建设城邕路工程、白云路东段道路工程。继续实施新型城镇化建设三年行动计划，统筹国家新型城镇化综合试点，柳东新区国家产城融合示范区建设。落实自治区和柳州市关于加快乡村振兴发展的决策部署，抓好《柳州市实施乡村振兴战略规划（</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2018</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2022</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年）》的实施。统筹推进县域经济发展，推动一批县域重大基础设施项目建设，夯实县域经济发展基础。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5.持续优化营商环境。巩固供给侧结构性改革“三去一降一补”成果，在“巩固、增强、提升、畅通”上下功夫，持续优化产能结构，降低全社会各类营商成本，加大基础设施等领域补短板力度，确保改革取得更大成效。深入推进政务服务“一事通办”改革，深化“一枚印章管审批”改革，加快推进“互联网</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政务服务”、房屋综合管理系统、不动产登记信息系统建设，推动涉企行政审批及服务事项简化办理环节、优化办理流程，大幅压缩办理时限。加大与欧盟城市开放合作，推进中欧区域政策合作案例城市建设，加快打造中欧（柳州）合作示范园。积极开展区域经济合作，大力推动西部陆海新通道相关项目建设，加快融入粤港澳大湾区建设，重点打造粤桂黔高铁经济带合作试验区（柳州）广西园。全力维护民营企业合法权益，聚焦企业关注的“痛点”，找准政策落地的“堵点”，主动送政策上门，打通政策落地“最后一公里”。进一步清理、精简涉及民间投资管理的行政审批事项和涉企收费，规范中间环节、中介组织行为，加快推进涉企行政事业性收费零收费，降低企业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6.持续打好污染防治攻坚战。全力抓好节能减排降碳。实施节能降耗重点工程，加强工业、农业和农村、商业和民用、交通运输、建筑、公共机构等领域节能减排。加强对重点企业能源消耗和减排总量的监控，加快重点用能单位节能改造，推动节能减排新技术新产品应用，提高能源利用效率。加大对重点环保节能企业的扶持力度，鼓励企业建立全过程绿色管理体系。继续推进天然气工程建设，加快鹿寨天然气支线管道工程建设。加快融水、融安、三江等地区风电项目建设，推进分布式光伏发电应用示范建设。严格落实重点生态功能区产业准入负面清单，控制限制类产业发展，建立健全禁止类产业退出机制。加快构建工业生态产业链，强化对传统工业绿色化改造，推广无污染清洁化工业生产，重点培育壮大节能环保、生物医药、新型建材、新一代信息技术、新材料等新型生态工业。继续推进国家循环经济示范城市建设，重点推进园区循环化改造、建筑垃圾及餐厨废弃物资源化利用和无害化处理工程建设，积极发展循环经济，实现城市绿色可持续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7.进一步筑牢粮食安全基础。深入开展各县种粮情况调查，掌握粮源，争取2019年列入订单收购县的市辖</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5</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县（区）继续列入</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2020</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年收购计划。加强督促指导各直补订单收购县粮食收购工作，确保顺利完成自治区下达我市储备粮直补订单粮食收购任务。制定市级储备粮轮换销售和补库计划，督促各承储企业加强保粮措施，确保按质按量按时完成市级储备粮的轮换销售和补库任务。加强对市级成品粮油储备的监管，确保市级成品粮油储备按规定落实到位，保障应急供应粮油需求。继续抓好粮食流通统计工作，继续抓好粮食种植结构调整引导工作。指导各县（区）积极开展粮食种植结构调整，加大优质稻的种植面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8.持续保障和改善民生。统筹推进易地扶贫搬迁工作，坚持搬迁与发展并重，加强产业配套和就业安置，大力推动“微田园、微车间、微市场”等后续脱贫产业和就业扶持工作，确保搬得出、稳得住、能致富。持续补齐教育、医疗短板，着力增强贫困人口基本医疗和义务教育保障。抓好医疗基础设施建设。加快推进红会医院迁建项目、中西医结合医院项目、工人医院总院搬迁项目、柳州市燎原医院等项目建设。完善社区卫生服务体系，进一步构建和完善“</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15</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分钟社区卫生服务圈”，进一步提升医疗卫生服务覆盖面和保障水平。推进医养融合建设，推动医疗机构与养老机构合作共建，将潭西街道社区卫生服务中心打造成为我市首个财政性资金投资建设的医养结合试点项目。加快实施第三期学前教育行动计划，巩固义务教育均衡发展成果，持续推进职业教育国际化。积极推进高等教育发展，支持鹿山学院转设柳州工学院。加快构建现代公共文化服务体系，完善公共文化基础设施，积极推进柳州市图书馆新馆、柳空文化艺术创业园等文化项目建设，促进文化产业健康快速发展。统筹体育事业发展，加快城区体育园、鹿寨县体育公园、三江县文体中心建设，不断提升体育公共产品供给能力。进一步建立健全物资储备工作机制，积极推进柳州市级应急物资储备库建设项目，着力做好猪肉等重要商品的保供稳价工作，确保物价水平总体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75" w:lineRule="atLeast"/>
        <w:ind w:left="0" w:right="0" w:firstLine="420"/>
        <w:rPr>
          <w:rFonts w:hint="default" w:ascii="Helvetica" w:hAnsi="Helvetica" w:eastAsia="Helvetica" w:cs="Helvetica"/>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sz w:val="32"/>
          <w:szCs w:val="32"/>
          <w:bdr w:val="none" w:color="auto" w:sz="0" w:space="0"/>
          <w:shd w:val="clear" w:fill="FFFFFF"/>
        </w:rPr>
        <w:t>二、机构设置情况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本部门共有直属单位4个。其中：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楷体_GB2312" w:hAnsi="Helvetica" w:eastAsia="楷体_GB2312" w:cs="楷体_GB2312"/>
          <w:b/>
          <w:i w:val="0"/>
          <w:caps w:val="0"/>
          <w:color w:val="000000"/>
          <w:spacing w:val="0"/>
          <w:kern w:val="0"/>
          <w:sz w:val="32"/>
          <w:szCs w:val="32"/>
          <w:bdr w:val="none" w:color="auto" w:sz="0" w:space="0"/>
          <w:shd w:val="clear" w:fill="FFFFFF"/>
          <w:lang w:val="en-US" w:eastAsia="zh-CN" w:bidi="ar"/>
        </w:rPr>
        <w:t>（一）行政单位1</w:t>
      </w: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个，为柳州市发展和改革委员会。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楷体_GB2312" w:hAnsi="Helvetica" w:eastAsia="楷体_GB2312" w:cs="楷体_GB2312"/>
          <w:b/>
          <w:i w:val="0"/>
          <w:caps w:val="0"/>
          <w:color w:val="000000"/>
          <w:spacing w:val="0"/>
          <w:kern w:val="0"/>
          <w:sz w:val="32"/>
          <w:szCs w:val="32"/>
          <w:bdr w:val="none" w:color="auto" w:sz="0" w:space="0"/>
          <w:shd w:val="clear" w:fill="FFFFFF"/>
          <w:lang w:val="en-US" w:eastAsia="zh-CN" w:bidi="ar"/>
        </w:rPr>
        <w:t>（二）参照公务员管理事业单位</w:t>
      </w: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3个，分别是柳州市价格认证中心、柳州市项目促进中心、柳州市储备粮管理中心。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机关本级内设24个科室，分别为：办公室、发展规划和国民经济科、综合法规科、体制改革和政策研究科、区域合作和对外开放科、固定资产投资和利用外资科、农村经济科、工业和服务业科、能源和高技术发展科、重大项目建设科、基础设施科、资源节约和环境保护科、社会发展科、营商环境和信用建设科、价格管理科、价格调控和收费管理科、价格成本监审科、粮食储备与产业发展科、规划建设与安全仓储科、物资储备科、执法督查科、经济与国防协调发展科、财务科、人事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218" w:firstLine="480"/>
        <w:jc w:val="both"/>
        <w:rPr>
          <w:rFonts w:hint="default" w:ascii="Helvetica" w:hAnsi="Helvetica" w:eastAsia="Helvetica" w:cs="Helvetica"/>
          <w:i w:val="0"/>
          <w:caps w:val="0"/>
          <w:color w:val="333333"/>
          <w:spacing w:val="0"/>
          <w:sz w:val="24"/>
          <w:szCs w:val="24"/>
        </w:rPr>
      </w:pPr>
      <w:r>
        <w:rPr>
          <w:rStyle w:val="4"/>
          <w:rFonts w:hint="eastAsia" w:ascii="仿宋_GB2312" w:hAnsi="Helvetica" w:eastAsia="仿宋_GB2312" w:cs="仿宋_GB2312"/>
          <w:b/>
          <w:i w:val="0"/>
          <w:caps w:val="0"/>
          <w:color w:val="000000"/>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sz w:val="32"/>
          <w:szCs w:val="32"/>
          <w:bdr w:val="none" w:color="auto" w:sz="0" w:space="0"/>
          <w:shd w:val="clear" w:fill="FFFFFF"/>
        </w:rPr>
        <w:t>三、编制现状及人员构成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480"/>
        <w:jc w:val="center"/>
        <w:rPr>
          <w:rFonts w:hint="default" w:ascii="Helvetica" w:hAnsi="Helvetica" w:eastAsia="Helvetica" w:cs="Helvetica"/>
          <w:i w:val="0"/>
          <w:caps w:val="0"/>
          <w:color w:val="333333"/>
          <w:spacing w:val="0"/>
          <w:sz w:val="24"/>
          <w:szCs w:val="24"/>
        </w:rPr>
      </w:pPr>
      <w:r>
        <w:rPr>
          <w:rStyle w:val="4"/>
          <w:rFonts w:hint="eastAsia" w:ascii="仿宋_GB2312" w:hAnsi="Helvetica" w:eastAsia="仿宋_GB2312" w:cs="仿宋_GB2312"/>
          <w:b/>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480"/>
        <w:jc w:val="center"/>
        <w:rPr>
          <w:rFonts w:hint="default" w:ascii="Helvetica" w:hAnsi="Helvetica" w:eastAsia="Helvetica" w:cs="Helvetica"/>
          <w:i w:val="0"/>
          <w:caps w:val="0"/>
          <w:color w:val="333333"/>
          <w:spacing w:val="0"/>
          <w:sz w:val="24"/>
          <w:szCs w:val="24"/>
        </w:rPr>
      </w:pPr>
      <w:r>
        <w:rPr>
          <w:rStyle w:val="4"/>
          <w:rFonts w:hint="eastAsia" w:ascii="仿宋_GB2312" w:hAnsi="Helvetica" w:eastAsia="仿宋_GB2312" w:cs="仿宋_GB2312"/>
          <w:b/>
          <w:i w:val="0"/>
          <w:caps w:val="0"/>
          <w:color w:val="333333"/>
          <w:spacing w:val="0"/>
          <w:sz w:val="32"/>
          <w:szCs w:val="32"/>
          <w:bdr w:val="none" w:color="auto" w:sz="0" w:space="0"/>
          <w:shd w:val="clear" w:fill="FFFFFF"/>
        </w:rPr>
        <w:t>基本情况表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00" w:lineRule="atLeast"/>
        <w:ind w:left="0" w:right="315" w:firstLine="480"/>
        <w:jc w:val="center"/>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bdr w:val="none" w:color="auto" w:sz="0" w:space="0"/>
          <w:shd w:val="clear" w:fill="FFFFFF"/>
        </w:rPr>
        <w:t>  单位：人、辆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center"/>
        <w:rPr>
          <w:rFonts w:hint="default" w:ascii="Helvetica" w:hAnsi="Helvetica" w:eastAsia="Helvetica" w:cs="Helvetica"/>
          <w:i w:val="0"/>
          <w:caps w:val="0"/>
          <w:color w:val="333333"/>
          <w:spacing w:val="0"/>
          <w:sz w:val="24"/>
          <w:szCs w:val="24"/>
        </w:rPr>
      </w:pPr>
    </w:p>
    <w:tbl>
      <w:tblPr>
        <w:tblW w:w="9090" w:type="dxa"/>
        <w:tblInd w:w="0" w:type="dxa"/>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039"/>
        <w:gridCol w:w="1151"/>
        <w:gridCol w:w="684"/>
        <w:gridCol w:w="726"/>
        <w:gridCol w:w="710"/>
        <w:gridCol w:w="806"/>
        <w:gridCol w:w="896"/>
        <w:gridCol w:w="1034"/>
        <w:gridCol w:w="1044"/>
      </w:tblGrid>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811" w:hRule="atLeast"/>
        </w:trPr>
        <w:tc>
          <w:tcPr>
            <w:tcW w:w="2039" w:type="dxa"/>
            <w:tcBorders>
              <w:top w:val="single" w:color="auto" w:sz="8" w:space="0"/>
              <w:left w:val="single" w:color="auto" w:sz="8" w:space="0"/>
              <w:bottom w:val="single" w:color="auto" w:sz="8" w:space="0"/>
              <w:right w:val="single" w:color="auto" w:sz="8" w:space="0"/>
            </w:tcBorders>
            <w:shd w:val="clear" w:color="auto" w:fill="FFFFFF"/>
            <w:tcMar>
              <w:top w:w="20" w:type="dxa"/>
              <w:left w:w="3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105"/>
              <w:jc w:val="center"/>
              <w:rPr>
                <w:sz w:val="24"/>
                <w:szCs w:val="24"/>
              </w:rPr>
            </w:pPr>
            <w:r>
              <w:rPr>
                <w:rFonts w:hint="eastAsia" w:ascii="仿宋_GB2312" w:hAnsi="Helvetica" w:eastAsia="仿宋_GB2312" w:cs="仿宋_GB2312"/>
                <w:i w:val="0"/>
                <w:caps w:val="0"/>
                <w:color w:val="333333"/>
                <w:spacing w:val="0"/>
                <w:sz w:val="28"/>
                <w:szCs w:val="28"/>
                <w:bdr w:val="none" w:color="auto" w:sz="0" w:space="0"/>
              </w:rPr>
              <w:t>单位名称</w:t>
            </w:r>
          </w:p>
        </w:tc>
        <w:tc>
          <w:tcPr>
            <w:tcW w:w="1151" w:type="dxa"/>
            <w:tcBorders>
              <w:top w:val="single" w:color="auto" w:sz="8" w:space="0"/>
              <w:left w:val="nil"/>
              <w:bottom w:val="single" w:color="auto" w:sz="8" w:space="0"/>
              <w:right w:val="single" w:color="auto" w:sz="8" w:space="0"/>
            </w:tcBorders>
            <w:shd w:val="clear" w:color="auto" w:fill="FFFFFF"/>
            <w:tcMar>
              <w:top w:w="20" w:type="dxa"/>
              <w:left w:w="2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bdr w:val="none" w:color="auto" w:sz="0" w:space="0"/>
              </w:rPr>
              <w:t>单位</w:t>
            </w:r>
            <w:r>
              <w:rPr>
                <w:rFonts w:hint="eastAsia" w:ascii="仿宋_GB2312" w:hAnsi="Helvetica" w:eastAsia="仿宋_GB2312" w:cs="仿宋_GB2312"/>
                <w:i w:val="0"/>
                <w:caps w:val="0"/>
                <w:color w:val="333333"/>
                <w:spacing w:val="0"/>
                <w:sz w:val="28"/>
                <w:szCs w:val="28"/>
                <w:bdr w:val="none" w:color="auto" w:sz="0" w:space="0"/>
              </w:rPr>
              <w:br w:type="textWrapping"/>
            </w:r>
            <w:r>
              <w:rPr>
                <w:rFonts w:hint="eastAsia" w:ascii="仿宋_GB2312" w:hAnsi="Helvetica" w:eastAsia="仿宋_GB2312" w:cs="仿宋_GB2312"/>
                <w:i w:val="0"/>
                <w:caps w:val="0"/>
                <w:color w:val="333333"/>
                <w:spacing w:val="0"/>
                <w:sz w:val="28"/>
                <w:szCs w:val="28"/>
                <w:bdr w:val="none" w:color="auto" w:sz="0" w:space="0"/>
              </w:rPr>
              <w:t>  性质</w:t>
            </w:r>
            <w:r>
              <w:rPr>
                <w:rFonts w:hint="eastAsia" w:ascii="仿宋_GB2312" w:hAnsi="Helvetica" w:eastAsia="仿宋_GB2312" w:cs="仿宋_GB2312"/>
                <w:i w:val="0"/>
                <w:caps w:val="0"/>
                <w:color w:val="333333"/>
                <w:spacing w:val="0"/>
                <w:sz w:val="28"/>
                <w:szCs w:val="28"/>
                <w:bdr w:val="none" w:color="auto" w:sz="0" w:space="0"/>
              </w:rPr>
              <w:br w:type="textWrapping"/>
            </w:r>
            <w:r>
              <w:rPr>
                <w:rFonts w:hint="eastAsia" w:ascii="仿宋_GB2312" w:hAnsi="Helvetica" w:eastAsia="仿宋_GB2312" w:cs="仿宋_GB2312"/>
                <w:i w:val="0"/>
                <w:caps w:val="0"/>
                <w:color w:val="333333"/>
                <w:spacing w:val="0"/>
                <w:sz w:val="28"/>
                <w:szCs w:val="28"/>
                <w:bdr w:val="none" w:color="auto" w:sz="0" w:space="0"/>
              </w:rPr>
              <w:t>  （编制本）</w:t>
            </w:r>
          </w:p>
        </w:tc>
        <w:tc>
          <w:tcPr>
            <w:tcW w:w="684" w:type="dxa"/>
            <w:tcBorders>
              <w:top w:val="single" w:color="auto" w:sz="8" w:space="0"/>
              <w:left w:val="nil"/>
              <w:bottom w:val="single" w:color="auto" w:sz="8" w:space="0"/>
              <w:right w:val="single" w:color="auto" w:sz="8" w:space="0"/>
            </w:tcBorders>
            <w:shd w:val="clear" w:color="auto" w:fill="FFFFFF"/>
            <w:tcMar>
              <w:top w:w="20" w:type="dxa"/>
              <w:left w:w="2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bdr w:val="none" w:color="auto" w:sz="0" w:space="0"/>
              </w:rPr>
              <w:t>编制人数</w:t>
            </w:r>
          </w:p>
        </w:tc>
        <w:tc>
          <w:tcPr>
            <w:tcW w:w="726" w:type="dxa"/>
            <w:tcBorders>
              <w:top w:val="single" w:color="auto" w:sz="8" w:space="0"/>
              <w:left w:val="nil"/>
              <w:bottom w:val="single" w:color="auto" w:sz="8" w:space="0"/>
              <w:right w:val="single" w:color="auto" w:sz="8" w:space="0"/>
            </w:tcBorders>
            <w:shd w:val="clear" w:color="auto" w:fill="FFFFFF"/>
            <w:tcMar>
              <w:top w:w="20" w:type="dxa"/>
              <w:left w:w="3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bdr w:val="none" w:color="auto" w:sz="0" w:space="0"/>
              </w:rPr>
              <w:t>实有在职人数</w:t>
            </w:r>
          </w:p>
        </w:tc>
        <w:tc>
          <w:tcPr>
            <w:tcW w:w="710" w:type="dxa"/>
            <w:tcBorders>
              <w:top w:val="single" w:color="auto" w:sz="8" w:space="0"/>
              <w:left w:val="nil"/>
              <w:bottom w:val="single" w:color="auto" w:sz="8" w:space="0"/>
              <w:right w:val="single" w:color="auto" w:sz="8" w:space="0"/>
            </w:tcBorders>
            <w:shd w:val="clear" w:color="auto" w:fill="FFFFFF"/>
            <w:tcMar>
              <w:top w:w="20" w:type="dxa"/>
              <w:left w:w="2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bdr w:val="none" w:color="auto" w:sz="0" w:space="0"/>
              </w:rPr>
              <w:t>离休</w:t>
            </w:r>
            <w:r>
              <w:rPr>
                <w:rFonts w:hint="eastAsia" w:ascii="仿宋_GB2312" w:hAnsi="Helvetica" w:eastAsia="仿宋_GB2312" w:cs="仿宋_GB2312"/>
                <w:i w:val="0"/>
                <w:caps w:val="0"/>
                <w:color w:val="333333"/>
                <w:spacing w:val="0"/>
                <w:sz w:val="28"/>
                <w:szCs w:val="28"/>
                <w:bdr w:val="none" w:color="auto" w:sz="0" w:space="0"/>
              </w:rPr>
              <w:br w:type="textWrapping"/>
            </w:r>
            <w:r>
              <w:rPr>
                <w:rFonts w:hint="eastAsia" w:ascii="仿宋_GB2312" w:hAnsi="Helvetica" w:eastAsia="仿宋_GB2312" w:cs="仿宋_GB2312"/>
                <w:i w:val="0"/>
                <w:caps w:val="0"/>
                <w:color w:val="333333"/>
                <w:spacing w:val="0"/>
                <w:sz w:val="28"/>
                <w:szCs w:val="28"/>
                <w:bdr w:val="none" w:color="auto" w:sz="0" w:space="0"/>
              </w:rPr>
              <w:t>  人数</w:t>
            </w:r>
          </w:p>
        </w:tc>
        <w:tc>
          <w:tcPr>
            <w:tcW w:w="806" w:type="dxa"/>
            <w:tcBorders>
              <w:top w:val="single" w:color="auto" w:sz="8" w:space="0"/>
              <w:left w:val="nil"/>
              <w:bottom w:val="single" w:color="auto" w:sz="8" w:space="0"/>
              <w:right w:val="single" w:color="auto" w:sz="8" w:space="0"/>
            </w:tcBorders>
            <w:shd w:val="clear" w:color="auto" w:fill="FFFFFF"/>
            <w:tcMar>
              <w:top w:w="20" w:type="dxa"/>
              <w:left w:w="2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bdr w:val="none" w:color="auto" w:sz="0" w:space="0"/>
              </w:rPr>
              <w:t>退休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bdr w:val="none" w:color="auto" w:sz="0" w:space="0"/>
              </w:rPr>
              <w:t>人数</w:t>
            </w:r>
          </w:p>
        </w:tc>
        <w:tc>
          <w:tcPr>
            <w:tcW w:w="896" w:type="dxa"/>
            <w:tcBorders>
              <w:top w:val="single" w:color="auto" w:sz="8" w:space="0"/>
              <w:left w:val="nil"/>
              <w:bottom w:val="single" w:color="auto" w:sz="8" w:space="0"/>
              <w:right w:val="single" w:color="auto" w:sz="8" w:space="0"/>
            </w:tcBorders>
            <w:shd w:val="clear" w:color="auto" w:fill="FFFFFF"/>
            <w:tcMar>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bdr w:val="none" w:color="auto" w:sz="0" w:space="0"/>
              </w:rPr>
              <w:t>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bdr w:val="none" w:color="auto" w:sz="0" w:space="0"/>
              </w:rPr>
              <w:t>人数</w:t>
            </w:r>
          </w:p>
        </w:tc>
        <w:tc>
          <w:tcPr>
            <w:tcW w:w="1034" w:type="dxa"/>
            <w:tcBorders>
              <w:top w:val="single" w:color="auto" w:sz="8" w:space="0"/>
              <w:left w:val="nil"/>
              <w:bottom w:val="single" w:color="auto" w:sz="8" w:space="0"/>
              <w:right w:val="single" w:color="auto" w:sz="8" w:space="0"/>
            </w:tcBorders>
            <w:shd w:val="clear" w:color="auto" w:fill="FFFFFF"/>
            <w:tcMar>
              <w:top w:w="20" w:type="dxa"/>
              <w:left w:w="2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bdr w:val="none" w:color="auto" w:sz="0" w:space="0"/>
              </w:rPr>
              <w:t>学生人数</w:t>
            </w:r>
          </w:p>
        </w:tc>
        <w:tc>
          <w:tcPr>
            <w:tcW w:w="1044" w:type="dxa"/>
            <w:tcBorders>
              <w:top w:val="single" w:color="auto" w:sz="8" w:space="0"/>
              <w:left w:val="nil"/>
              <w:bottom w:val="single" w:color="auto" w:sz="8" w:space="0"/>
              <w:right w:val="single" w:color="auto" w:sz="8" w:space="0"/>
            </w:tcBorders>
            <w:shd w:val="clear" w:color="auto" w:fill="FFFFFF"/>
            <w:tcMar>
              <w:top w:w="20" w:type="dxa"/>
              <w:left w:w="3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rPr>
                <w:sz w:val="24"/>
                <w:szCs w:val="24"/>
              </w:rPr>
            </w:pPr>
            <w:r>
              <w:rPr>
                <w:rFonts w:hint="eastAsia" w:ascii="仿宋_GB2312" w:hAnsi="Helvetica" w:eastAsia="仿宋_GB2312" w:cs="仿宋_GB2312"/>
                <w:i w:val="0"/>
                <w:caps w:val="0"/>
                <w:color w:val="333333"/>
                <w:spacing w:val="0"/>
                <w:sz w:val="28"/>
                <w:szCs w:val="28"/>
                <w:bdr w:val="none" w:color="auto" w:sz="0" w:space="0"/>
              </w:rPr>
              <w:t>保留车辆数</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7" w:hRule="atLeast"/>
        </w:trPr>
        <w:tc>
          <w:tcPr>
            <w:tcW w:w="2039" w:type="dxa"/>
            <w:tcBorders>
              <w:top w:val="nil"/>
              <w:left w:val="single" w:color="auto" w:sz="8" w:space="0"/>
              <w:bottom w:val="single" w:color="auto" w:sz="8" w:space="0"/>
              <w:right w:val="single" w:color="auto" w:sz="8" w:space="0"/>
            </w:tcBorders>
            <w:shd w:val="clear" w:color="auto" w:fill="FFFFFF"/>
            <w:tcMar>
              <w:top w:w="20" w:type="dxa"/>
              <w:left w:w="3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105"/>
              <w:jc w:val="center"/>
              <w:rPr>
                <w:sz w:val="24"/>
                <w:szCs w:val="24"/>
              </w:rPr>
            </w:pPr>
            <w:r>
              <w:rPr>
                <w:rFonts w:ascii="仿宋" w:hAnsi="仿宋" w:eastAsia="仿宋" w:cs="仿宋"/>
                <w:i w:val="0"/>
                <w:caps w:val="0"/>
                <w:color w:val="333333"/>
                <w:spacing w:val="0"/>
                <w:sz w:val="24"/>
                <w:szCs w:val="24"/>
                <w:bdr w:val="none" w:color="auto" w:sz="0" w:space="0"/>
              </w:rPr>
              <w:t>合计</w:t>
            </w:r>
          </w:p>
        </w:tc>
        <w:tc>
          <w:tcPr>
            <w:tcW w:w="1151"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420"/>
              <w:jc w:val="center"/>
              <w:rPr>
                <w:sz w:val="24"/>
                <w:szCs w:val="24"/>
              </w:rPr>
            </w:pPr>
            <w:r>
              <w:rPr>
                <w:rFonts w:hint="eastAsia" w:ascii="仿宋" w:hAnsi="仿宋" w:eastAsia="仿宋" w:cs="仿宋"/>
                <w:i w:val="0"/>
                <w:caps w:val="0"/>
                <w:color w:val="333333"/>
                <w:spacing w:val="0"/>
                <w:sz w:val="24"/>
                <w:szCs w:val="24"/>
                <w:bdr w:val="none" w:color="auto" w:sz="0" w:space="0"/>
              </w:rPr>
              <w:t>  </w:t>
            </w:r>
          </w:p>
        </w:tc>
        <w:tc>
          <w:tcPr>
            <w:tcW w:w="68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138</w:t>
            </w:r>
          </w:p>
        </w:tc>
        <w:tc>
          <w:tcPr>
            <w:tcW w:w="726"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125</w:t>
            </w:r>
          </w:p>
        </w:tc>
        <w:tc>
          <w:tcPr>
            <w:tcW w:w="710" w:type="dxa"/>
            <w:tcBorders>
              <w:top w:val="nil"/>
              <w:left w:val="nil"/>
              <w:bottom w:val="single" w:color="auto" w:sz="8" w:space="0"/>
              <w:right w:val="single" w:color="auto" w:sz="8" w:space="0"/>
            </w:tcBorders>
            <w:shd w:val="clear" w:color="auto" w:fill="FFFFFF"/>
            <w:tcMar>
              <w:top w:w="20" w:type="dxa"/>
              <w:left w:w="2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1</w:t>
            </w:r>
          </w:p>
        </w:tc>
        <w:tc>
          <w:tcPr>
            <w:tcW w:w="806" w:type="dxa"/>
            <w:tcBorders>
              <w:top w:val="nil"/>
              <w:left w:val="nil"/>
              <w:bottom w:val="single" w:color="auto" w:sz="8" w:space="0"/>
              <w:right w:val="single" w:color="auto" w:sz="8" w:space="0"/>
            </w:tcBorders>
            <w:shd w:val="clear" w:color="auto" w:fill="FFFFFF"/>
            <w:tcMar>
              <w:top w:w="20" w:type="dxa"/>
              <w:left w:w="2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104</w:t>
            </w:r>
          </w:p>
        </w:tc>
        <w:tc>
          <w:tcPr>
            <w:tcW w:w="896" w:type="dxa"/>
            <w:tcBorders>
              <w:top w:val="nil"/>
              <w:left w:val="nil"/>
              <w:bottom w:val="single" w:color="auto" w:sz="8" w:space="0"/>
              <w:right w:val="single" w:color="auto" w:sz="8" w:space="0"/>
            </w:tcBorders>
            <w:shd w:val="clear" w:color="auto" w:fill="FFFFFF"/>
            <w:tcMar>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49</w:t>
            </w:r>
          </w:p>
        </w:tc>
        <w:tc>
          <w:tcPr>
            <w:tcW w:w="103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  </w:t>
            </w:r>
          </w:p>
        </w:tc>
        <w:tc>
          <w:tcPr>
            <w:tcW w:w="1044"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420"/>
              <w:jc w:val="center"/>
              <w:rPr>
                <w:sz w:val="24"/>
                <w:szCs w:val="24"/>
              </w:rPr>
            </w:pPr>
            <w:r>
              <w:rPr>
                <w:rFonts w:hint="eastAsia" w:ascii="仿宋" w:hAnsi="仿宋" w:eastAsia="仿宋" w:cs="仿宋"/>
                <w:i w:val="0"/>
                <w:caps w:val="0"/>
                <w:color w:val="333333"/>
                <w:spacing w:val="0"/>
                <w:sz w:val="24"/>
                <w:szCs w:val="24"/>
                <w:bdr w:val="none" w:color="auto" w:sz="0" w:space="0"/>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227" w:hRule="atLeast"/>
        </w:trPr>
        <w:tc>
          <w:tcPr>
            <w:tcW w:w="2039" w:type="dxa"/>
            <w:tcBorders>
              <w:top w:val="nil"/>
              <w:left w:val="single" w:color="auto" w:sz="8" w:space="0"/>
              <w:bottom w:val="single" w:color="auto" w:sz="8" w:space="0"/>
              <w:right w:val="single" w:color="auto" w:sz="8" w:space="0"/>
            </w:tcBorders>
            <w:shd w:val="clear" w:color="auto" w:fill="FFFFFF"/>
            <w:tcMar>
              <w:top w:w="20" w:type="dxa"/>
              <w:left w:w="3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18"/>
                <w:szCs w:val="18"/>
                <w:bdr w:val="none" w:color="auto" w:sz="0" w:space="0"/>
              </w:rPr>
              <w:t>柳州市发展和改革委员会</w:t>
            </w:r>
          </w:p>
        </w:tc>
        <w:tc>
          <w:tcPr>
            <w:tcW w:w="1151"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行政单位</w:t>
            </w:r>
          </w:p>
        </w:tc>
        <w:tc>
          <w:tcPr>
            <w:tcW w:w="68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95</w:t>
            </w:r>
          </w:p>
        </w:tc>
        <w:tc>
          <w:tcPr>
            <w:tcW w:w="726"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81</w:t>
            </w:r>
          </w:p>
        </w:tc>
        <w:tc>
          <w:tcPr>
            <w:tcW w:w="710" w:type="dxa"/>
            <w:tcBorders>
              <w:top w:val="nil"/>
              <w:left w:val="nil"/>
              <w:bottom w:val="single" w:color="auto" w:sz="8" w:space="0"/>
              <w:right w:val="single" w:color="auto" w:sz="8" w:space="0"/>
            </w:tcBorders>
            <w:shd w:val="clear" w:color="auto" w:fill="FFFFFF"/>
            <w:tcMar>
              <w:top w:w="20" w:type="dxa"/>
              <w:left w:w="2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1</w:t>
            </w:r>
          </w:p>
        </w:tc>
        <w:tc>
          <w:tcPr>
            <w:tcW w:w="806" w:type="dxa"/>
            <w:tcBorders>
              <w:top w:val="nil"/>
              <w:left w:val="nil"/>
              <w:bottom w:val="single" w:color="auto" w:sz="8" w:space="0"/>
              <w:right w:val="single" w:color="auto" w:sz="8" w:space="0"/>
            </w:tcBorders>
            <w:shd w:val="clear" w:color="auto" w:fill="FFFFFF"/>
            <w:tcMar>
              <w:top w:w="20" w:type="dxa"/>
              <w:left w:w="2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95</w:t>
            </w:r>
          </w:p>
        </w:tc>
        <w:tc>
          <w:tcPr>
            <w:tcW w:w="896" w:type="dxa"/>
            <w:tcBorders>
              <w:top w:val="nil"/>
              <w:left w:val="nil"/>
              <w:bottom w:val="single" w:color="auto" w:sz="8" w:space="0"/>
              <w:right w:val="single" w:color="auto" w:sz="8" w:space="0"/>
            </w:tcBorders>
            <w:shd w:val="clear" w:color="auto" w:fill="FFFFFF"/>
            <w:tcMar>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  </w:t>
            </w:r>
          </w:p>
        </w:tc>
        <w:tc>
          <w:tcPr>
            <w:tcW w:w="103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  </w:t>
            </w:r>
          </w:p>
        </w:tc>
        <w:tc>
          <w:tcPr>
            <w:tcW w:w="1044"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420"/>
              <w:jc w:val="center"/>
              <w:rPr>
                <w:sz w:val="24"/>
                <w:szCs w:val="24"/>
              </w:rPr>
            </w:pPr>
            <w:r>
              <w:rPr>
                <w:rFonts w:hint="eastAsia" w:ascii="仿宋" w:hAnsi="仿宋" w:eastAsia="仿宋" w:cs="仿宋"/>
                <w:i w:val="0"/>
                <w:caps w:val="0"/>
                <w:color w:val="333333"/>
                <w:spacing w:val="0"/>
                <w:sz w:val="24"/>
                <w:szCs w:val="24"/>
                <w:bdr w:val="none" w:color="auto" w:sz="0" w:space="0"/>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580" w:hRule="atLeast"/>
        </w:trPr>
        <w:tc>
          <w:tcPr>
            <w:tcW w:w="2039" w:type="dxa"/>
            <w:tcBorders>
              <w:top w:val="nil"/>
              <w:left w:val="single" w:color="auto" w:sz="8" w:space="0"/>
              <w:bottom w:val="single" w:color="auto" w:sz="8" w:space="0"/>
              <w:right w:val="single" w:color="auto" w:sz="8" w:space="0"/>
            </w:tcBorders>
            <w:shd w:val="clear" w:color="auto" w:fill="FFFFFF"/>
            <w:tcMar>
              <w:top w:w="20" w:type="dxa"/>
              <w:left w:w="3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18"/>
                <w:szCs w:val="18"/>
                <w:bdr w:val="none" w:color="auto" w:sz="0" w:space="0"/>
              </w:rPr>
              <w:t>柳州市价格认证中心</w:t>
            </w:r>
          </w:p>
        </w:tc>
        <w:tc>
          <w:tcPr>
            <w:tcW w:w="1151"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参公事业</w:t>
            </w:r>
          </w:p>
        </w:tc>
        <w:tc>
          <w:tcPr>
            <w:tcW w:w="68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10</w:t>
            </w:r>
          </w:p>
        </w:tc>
        <w:tc>
          <w:tcPr>
            <w:tcW w:w="726"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10</w:t>
            </w:r>
          </w:p>
        </w:tc>
        <w:tc>
          <w:tcPr>
            <w:tcW w:w="710"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  </w:t>
            </w:r>
          </w:p>
        </w:tc>
        <w:tc>
          <w:tcPr>
            <w:tcW w:w="806"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  </w:t>
            </w:r>
          </w:p>
        </w:tc>
        <w:tc>
          <w:tcPr>
            <w:tcW w:w="896" w:type="dxa"/>
            <w:tcBorders>
              <w:top w:val="nil"/>
              <w:left w:val="nil"/>
              <w:bottom w:val="single" w:color="auto" w:sz="8" w:space="0"/>
              <w:right w:val="single" w:color="auto" w:sz="8" w:space="0"/>
            </w:tcBorders>
            <w:shd w:val="clear" w:color="auto" w:fill="FFFFFF"/>
            <w:tcMar>
              <w:left w:w="10" w:type="dxa"/>
              <w:right w:w="1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43</w:t>
            </w:r>
          </w:p>
        </w:tc>
        <w:tc>
          <w:tcPr>
            <w:tcW w:w="103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  </w:t>
            </w:r>
          </w:p>
        </w:tc>
        <w:tc>
          <w:tcPr>
            <w:tcW w:w="1044"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752"/>
              <w:rPr>
                <w:sz w:val="24"/>
                <w:szCs w:val="24"/>
              </w:rPr>
            </w:pPr>
            <w:r>
              <w:rPr>
                <w:rFonts w:hint="eastAsia" w:ascii="仿宋" w:hAnsi="仿宋" w:eastAsia="仿宋" w:cs="仿宋"/>
                <w:i w:val="0"/>
                <w:caps w:val="0"/>
                <w:color w:val="333333"/>
                <w:spacing w:val="0"/>
                <w:sz w:val="24"/>
                <w:szCs w:val="24"/>
                <w:bdr w:val="none" w:color="auto" w:sz="0" w:space="0"/>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227" w:hRule="atLeast"/>
        </w:trPr>
        <w:tc>
          <w:tcPr>
            <w:tcW w:w="2039" w:type="dxa"/>
            <w:tcBorders>
              <w:top w:val="nil"/>
              <w:left w:val="single" w:color="auto" w:sz="8" w:space="0"/>
              <w:bottom w:val="single" w:color="auto" w:sz="8" w:space="0"/>
              <w:right w:val="single" w:color="auto" w:sz="8" w:space="0"/>
            </w:tcBorders>
            <w:shd w:val="clear" w:color="auto" w:fill="FFFFFF"/>
            <w:tcMar>
              <w:top w:w="20" w:type="dxa"/>
              <w:left w:w="3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18"/>
                <w:szCs w:val="18"/>
                <w:bdr w:val="none" w:color="auto" w:sz="0" w:space="0"/>
              </w:rPr>
              <w:t>柳州市项目促进中心</w:t>
            </w:r>
          </w:p>
        </w:tc>
        <w:tc>
          <w:tcPr>
            <w:tcW w:w="1151"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参公事业</w:t>
            </w:r>
          </w:p>
        </w:tc>
        <w:tc>
          <w:tcPr>
            <w:tcW w:w="68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17</w:t>
            </w:r>
          </w:p>
        </w:tc>
        <w:tc>
          <w:tcPr>
            <w:tcW w:w="726"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19</w:t>
            </w:r>
          </w:p>
        </w:tc>
        <w:tc>
          <w:tcPr>
            <w:tcW w:w="710"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  </w:t>
            </w:r>
          </w:p>
        </w:tc>
        <w:tc>
          <w:tcPr>
            <w:tcW w:w="806"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  </w:t>
            </w:r>
          </w:p>
        </w:tc>
        <w:tc>
          <w:tcPr>
            <w:tcW w:w="896" w:type="dxa"/>
            <w:tcBorders>
              <w:top w:val="nil"/>
              <w:left w:val="nil"/>
              <w:bottom w:val="single" w:color="auto" w:sz="8" w:space="0"/>
              <w:right w:val="single" w:color="auto" w:sz="8" w:space="0"/>
            </w:tcBorders>
            <w:shd w:val="clear" w:color="auto" w:fill="FFFFFF"/>
            <w:tcMar>
              <w:left w:w="10" w:type="dxa"/>
              <w:right w:w="1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6</w:t>
            </w:r>
          </w:p>
        </w:tc>
        <w:tc>
          <w:tcPr>
            <w:tcW w:w="103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752"/>
              <w:rPr>
                <w:sz w:val="24"/>
                <w:szCs w:val="24"/>
              </w:rPr>
            </w:pPr>
            <w:r>
              <w:rPr>
                <w:rFonts w:hint="eastAsia" w:ascii="仿宋" w:hAnsi="仿宋" w:eastAsia="仿宋" w:cs="仿宋"/>
                <w:i w:val="0"/>
                <w:caps w:val="0"/>
                <w:color w:val="333333"/>
                <w:spacing w:val="0"/>
                <w:sz w:val="24"/>
                <w:szCs w:val="24"/>
                <w:bdr w:val="none" w:color="auto" w:sz="0" w:space="0"/>
              </w:rPr>
              <w:t>  </w:t>
            </w:r>
          </w:p>
        </w:tc>
        <w:tc>
          <w:tcPr>
            <w:tcW w:w="1044"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752"/>
              <w:rPr>
                <w:sz w:val="24"/>
                <w:szCs w:val="24"/>
              </w:rPr>
            </w:pPr>
            <w:r>
              <w:rPr>
                <w:rFonts w:hint="eastAsia" w:ascii="仿宋" w:hAnsi="仿宋" w:eastAsia="仿宋" w:cs="仿宋"/>
                <w:i w:val="0"/>
                <w:caps w:val="0"/>
                <w:color w:val="333333"/>
                <w:spacing w:val="0"/>
                <w:sz w:val="24"/>
                <w:szCs w:val="24"/>
                <w:bdr w:val="none" w:color="auto" w:sz="0" w:space="0"/>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227" w:hRule="atLeast"/>
        </w:trPr>
        <w:tc>
          <w:tcPr>
            <w:tcW w:w="2039" w:type="dxa"/>
            <w:tcBorders>
              <w:top w:val="nil"/>
              <w:left w:val="single" w:color="auto" w:sz="8" w:space="0"/>
              <w:bottom w:val="single" w:color="auto" w:sz="8" w:space="0"/>
              <w:right w:val="single" w:color="auto" w:sz="8" w:space="0"/>
            </w:tcBorders>
            <w:shd w:val="clear" w:color="auto" w:fill="FFFFFF"/>
            <w:tcMar>
              <w:top w:w="20" w:type="dxa"/>
              <w:left w:w="30" w:type="dxa"/>
              <w:right w:w="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18"/>
                <w:szCs w:val="18"/>
                <w:bdr w:val="none" w:color="auto" w:sz="0" w:space="0"/>
              </w:rPr>
              <w:t>柳州市储备粮管理中心</w:t>
            </w:r>
          </w:p>
        </w:tc>
        <w:tc>
          <w:tcPr>
            <w:tcW w:w="1151"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参公事业</w:t>
            </w:r>
          </w:p>
        </w:tc>
        <w:tc>
          <w:tcPr>
            <w:tcW w:w="68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16</w:t>
            </w:r>
          </w:p>
        </w:tc>
        <w:tc>
          <w:tcPr>
            <w:tcW w:w="726"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15</w:t>
            </w:r>
          </w:p>
        </w:tc>
        <w:tc>
          <w:tcPr>
            <w:tcW w:w="710"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  </w:t>
            </w:r>
          </w:p>
        </w:tc>
        <w:tc>
          <w:tcPr>
            <w:tcW w:w="806"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9</w:t>
            </w:r>
          </w:p>
        </w:tc>
        <w:tc>
          <w:tcPr>
            <w:tcW w:w="896" w:type="dxa"/>
            <w:tcBorders>
              <w:top w:val="nil"/>
              <w:left w:val="nil"/>
              <w:bottom w:val="single" w:color="auto" w:sz="8" w:space="0"/>
              <w:right w:val="single" w:color="auto" w:sz="8" w:space="0"/>
            </w:tcBorders>
            <w:shd w:val="clear" w:color="auto" w:fill="FFFFFF"/>
            <w:tcMar>
              <w:left w:w="10" w:type="dxa"/>
              <w:right w:w="1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bdr w:val="none" w:color="auto" w:sz="0" w:space="0"/>
              </w:rPr>
              <w:t>  </w:t>
            </w:r>
          </w:p>
        </w:tc>
        <w:tc>
          <w:tcPr>
            <w:tcW w:w="103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752"/>
              <w:rPr>
                <w:sz w:val="24"/>
                <w:szCs w:val="24"/>
              </w:rPr>
            </w:pPr>
            <w:r>
              <w:rPr>
                <w:rFonts w:hint="eastAsia" w:ascii="仿宋" w:hAnsi="仿宋" w:eastAsia="仿宋" w:cs="仿宋"/>
                <w:i w:val="0"/>
                <w:caps w:val="0"/>
                <w:color w:val="333333"/>
                <w:spacing w:val="0"/>
                <w:sz w:val="24"/>
                <w:szCs w:val="24"/>
                <w:bdr w:val="none" w:color="auto" w:sz="0" w:space="0"/>
              </w:rPr>
              <w:t>  </w:t>
            </w:r>
          </w:p>
        </w:tc>
        <w:tc>
          <w:tcPr>
            <w:tcW w:w="1044"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752"/>
              <w:rPr>
                <w:sz w:val="24"/>
                <w:szCs w:val="24"/>
              </w:rPr>
            </w:pPr>
            <w:r>
              <w:rPr>
                <w:rFonts w:hint="eastAsia" w:ascii="仿宋" w:hAnsi="仿宋" w:eastAsia="仿宋" w:cs="仿宋"/>
                <w:i w:val="0"/>
                <w:caps w:val="0"/>
                <w:color w:val="333333"/>
                <w:spacing w:val="0"/>
                <w:sz w:val="24"/>
                <w:szCs w:val="24"/>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75" w:lineRule="atLeast"/>
        <w:ind w:left="0" w:right="0" w:firstLine="480"/>
        <w:rPr>
          <w:rFonts w:hint="default" w:ascii="Helvetica" w:hAnsi="Helvetica" w:eastAsia="Helvetica" w:cs="Helvetica"/>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75" w:lineRule="atLeast"/>
        <w:ind w:left="0" w:right="0" w:firstLine="420"/>
        <w:rPr>
          <w:rFonts w:hint="default" w:ascii="Helvetica" w:hAnsi="Helvetica" w:eastAsia="Helvetica" w:cs="Helvetica"/>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40" w:lineRule="atLeast"/>
        <w:ind w:left="0" w:right="-218" w:firstLine="480"/>
        <w:jc w:val="center"/>
        <w:rPr>
          <w:rFonts w:hint="default" w:ascii="Helvetica" w:hAnsi="Helvetica" w:eastAsia="Helvetica" w:cs="Helvetica"/>
          <w:i w:val="0"/>
          <w:caps w:val="0"/>
          <w:color w:val="333333"/>
          <w:spacing w:val="0"/>
          <w:sz w:val="24"/>
          <w:szCs w:val="24"/>
        </w:rPr>
      </w:pPr>
      <w:r>
        <w:rPr>
          <w:rStyle w:val="4"/>
          <w:rFonts w:hint="eastAsia" w:ascii="仿宋_GB2312" w:hAnsi="Helvetica" w:eastAsia="仿宋_GB2312" w:cs="仿宋_GB2312"/>
          <w:b/>
          <w:i w:val="0"/>
          <w:caps w:val="0"/>
          <w:color w:val="000000"/>
          <w:spacing w:val="0"/>
          <w:kern w:val="0"/>
          <w:sz w:val="32"/>
          <w:szCs w:val="32"/>
          <w:bdr w:val="none" w:color="auto" w:sz="0" w:space="0"/>
          <w:shd w:val="clear" w:fill="FFFFFF"/>
          <w:lang w:val="en-US" w:eastAsia="zh-CN" w:bidi="ar"/>
        </w:rPr>
        <w:t>第二部分：柳州市发展和改革委员会2020年部门预算表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一、财政拨款收支总表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二、一般公共预算支出表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三、一般公共预算基本支出表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四、一般公共预算“三公”经费支出表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五、部门收支总表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六、部门收入总表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七、部门支出总表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八、政府性基金预算支出表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九、国有资本经营预算支出表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十、政府采购预算表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十一、政府购买服务预算表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218"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上述报表详见附件。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218" w:firstLine="480"/>
        <w:jc w:val="center"/>
        <w:rPr>
          <w:rFonts w:hint="default" w:ascii="Helvetica" w:hAnsi="Helvetica" w:eastAsia="Helvetica" w:cs="Helvetica"/>
          <w:i w:val="0"/>
          <w:caps w:val="0"/>
          <w:color w:val="333333"/>
          <w:spacing w:val="0"/>
          <w:sz w:val="24"/>
          <w:szCs w:val="24"/>
        </w:rPr>
      </w:pPr>
      <w:r>
        <w:rPr>
          <w:rStyle w:val="4"/>
          <w:rFonts w:hint="eastAsia" w:ascii="仿宋_GB2312" w:hAnsi="Helvetica" w:eastAsia="仿宋_GB2312" w:cs="仿宋_GB2312"/>
          <w:b/>
          <w:i w:val="0"/>
          <w:caps w:val="0"/>
          <w:color w:val="000000"/>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仿宋_GB2312" w:hAnsi="Helvetica" w:eastAsia="仿宋_GB2312" w:cs="仿宋_GB2312"/>
          <w:b/>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center"/>
        <w:rPr>
          <w:rFonts w:hint="default" w:ascii="Helvetica" w:hAnsi="Helvetica" w:eastAsia="Helvetica" w:cs="Helvetica"/>
          <w:i w:val="0"/>
          <w:caps w:val="0"/>
          <w:color w:val="333333"/>
          <w:spacing w:val="0"/>
          <w:sz w:val="24"/>
          <w:szCs w:val="24"/>
        </w:rPr>
      </w:pPr>
      <w:r>
        <w:rPr>
          <w:rStyle w:val="4"/>
          <w:rFonts w:hint="eastAsia" w:ascii="仿宋_GB2312" w:hAnsi="Helvetica" w:eastAsia="仿宋_GB2312" w:cs="仿宋_GB2312"/>
          <w:b/>
          <w:i w:val="0"/>
          <w:caps w:val="0"/>
          <w:color w:val="000000"/>
          <w:spacing w:val="0"/>
          <w:sz w:val="32"/>
          <w:szCs w:val="32"/>
          <w:bdr w:val="none" w:color="auto" w:sz="0" w:space="0"/>
          <w:shd w:val="clear" w:fill="FFFFFF"/>
        </w:rPr>
        <w:t>第三部分：柳州市发展和改革委员会2020年部门预算情况说明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一、财政拨款收支预算情况说明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bdr w:val="none" w:color="auto" w:sz="0" w:space="0"/>
          <w:shd w:val="clear" w:fill="FFFFFF"/>
        </w:rPr>
        <w:t>2020年部门财政拨款收支预算34032.23万元，同比减少1352.71万元，同比下降3.82%，减少的主要原因：节能减排专项资金划1000万元到环保局管理；柳州市信息化建设管理中心划入市大数据发展局导致减少其他发展与改革事务支出977.41万元，其他城乡社区公共设施支出减少1500万元，其他城乡社区支出减少1164万元；新增机关事业单位职业年金缴费支出115.79万元，因机构改革，物价局和粮食局及其二层单位并入发改委，增加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sz w:val="32"/>
          <w:szCs w:val="32"/>
          <w:bdr w:val="none" w:color="auto" w:sz="0" w:space="0"/>
          <w:shd w:val="clear" w:fill="FFFFFF"/>
        </w:rPr>
        <w:t>二、一般公共预算支出情况说明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bdr w:val="none" w:color="auto" w:sz="0" w:space="0"/>
          <w:shd w:val="clear" w:fill="FFFFFF"/>
        </w:rPr>
        <w:t>2020年部门一般公共预算支出34032.23万元，同比减少1352.71万元，同比下降3.82%，</w:t>
      </w:r>
      <w:r>
        <w:rPr>
          <w:rFonts w:hint="eastAsia" w:ascii="仿宋_GB2312" w:hAnsi="Helvetica" w:eastAsia="仿宋_GB2312" w:cs="仿宋_GB2312"/>
          <w:i w:val="0"/>
          <w:caps w:val="0"/>
          <w:color w:val="000000"/>
          <w:spacing w:val="0"/>
          <w:sz w:val="32"/>
          <w:szCs w:val="32"/>
          <w:bdr w:val="none" w:color="auto" w:sz="0" w:space="0"/>
          <w:shd w:val="clear" w:fill="FFFFFF"/>
        </w:rPr>
        <w:t>减少的主要原因</w:t>
      </w:r>
      <w:r>
        <w:rPr>
          <w:rFonts w:hint="eastAsia" w:ascii="仿宋_GB2312" w:hAnsi="Helvetica" w:eastAsia="仿宋_GB2312" w:cs="仿宋_GB2312"/>
          <w:b w:val="0"/>
          <w:i w:val="0"/>
          <w:caps w:val="0"/>
          <w:color w:val="333333"/>
          <w:spacing w:val="0"/>
          <w:sz w:val="32"/>
          <w:szCs w:val="32"/>
          <w:bdr w:val="none" w:color="auto" w:sz="0" w:space="0"/>
          <w:shd w:val="clear" w:fill="FFFFFF"/>
        </w:rPr>
        <w:t>：节能减排专项资金划1000万元到环保局管理；柳州市信息化建设管理中心划入市大数据发展局导致减少支出977.41万元，其他城乡社区公共设施支出减少1500万元，其他城乡社区支出减少1164万元；新增机关事业单位职业年金缴费支出115.79万元，因机构改革，物价局和粮食局及其二层单位并入发改委，增加支出。按支出功能分类科目划分，具体支出预算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bdr w:val="none" w:color="auto" w:sz="0" w:space="0"/>
          <w:shd w:val="clear" w:fill="FFFFFF"/>
        </w:rPr>
        <w:t>（一）201类一般公共服务支出2373.54万元，占一般公共预算6.97%，同比增加384.28万元，同比增长19.32%。主要用于保障</w:t>
      </w:r>
      <w:r>
        <w:rPr>
          <w:rFonts w:hint="eastAsia" w:ascii="仿宋_GB2312" w:hAnsi="Helvetica" w:eastAsia="仿宋_GB2312" w:cs="仿宋_GB2312"/>
          <w:i w:val="0"/>
          <w:caps w:val="0"/>
          <w:color w:val="000000"/>
          <w:spacing w:val="0"/>
          <w:sz w:val="32"/>
          <w:szCs w:val="32"/>
          <w:bdr w:val="none" w:color="auto" w:sz="0" w:space="0"/>
          <w:shd w:val="clear" w:fill="FFFFFF"/>
        </w:rPr>
        <w:t>我委日常运转发生的支出，如根据国家规定的基本工资和津补贴标准等安排的人员经费支出，按标准安排的办公费、印刷费、培训费、差旅费、会议费等日常公用经费支出；</w:t>
      </w:r>
      <w:r>
        <w:rPr>
          <w:rFonts w:hint="eastAsia" w:ascii="仿宋_GB2312" w:hAnsi="Helvetica" w:eastAsia="仿宋_GB2312" w:cs="仿宋_GB2312"/>
          <w:i w:val="0"/>
          <w:caps w:val="0"/>
          <w:color w:val="333333"/>
          <w:spacing w:val="0"/>
          <w:sz w:val="32"/>
          <w:szCs w:val="32"/>
          <w:bdr w:val="none" w:color="auto" w:sz="0" w:space="0"/>
          <w:shd w:val="clear" w:fill="FFFFFF"/>
        </w:rPr>
        <w:t>我委为完成各项发改工作任务、保障发改事业发展而发生的项目支出。</w:t>
      </w:r>
      <w:r>
        <w:rPr>
          <w:rFonts w:hint="eastAsia" w:ascii="仿宋_GB2312" w:hAnsi="Helvetica" w:eastAsia="仿宋_GB2312" w:cs="仿宋_GB2312"/>
          <w:i w:val="0"/>
          <w:caps w:val="0"/>
          <w:color w:val="000000"/>
          <w:spacing w:val="0"/>
          <w:sz w:val="32"/>
          <w:szCs w:val="32"/>
          <w:bdr w:val="none" w:color="auto" w:sz="0" w:space="0"/>
          <w:shd w:val="clear" w:fill="FFFFFF"/>
        </w:rPr>
        <w:t>增长的主要原因是2019年机构改革，市物价局、粮食局及二层机构并入我委，人员增加造成。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bdr w:val="none" w:color="auto" w:sz="0" w:space="0"/>
          <w:shd w:val="clear" w:fill="FFFFFF"/>
        </w:rPr>
        <w:t>（二）208类社会保障和就业支出464.51万元，占一般公共预算1.36%，同比增加172.99万元，同比增长59.34%。用于行政单位离退休费、机关事业单位基本养老保险缴费支出、机关事业单位职业年金缴费支出。</w:t>
      </w:r>
      <w:r>
        <w:rPr>
          <w:rFonts w:hint="eastAsia" w:ascii="仿宋_GB2312" w:hAnsi="Helvetica" w:eastAsia="仿宋_GB2312" w:cs="仿宋_GB2312"/>
          <w:i w:val="0"/>
          <w:caps w:val="0"/>
          <w:color w:val="333333"/>
          <w:spacing w:val="0"/>
          <w:sz w:val="32"/>
          <w:szCs w:val="32"/>
          <w:bdr w:val="none" w:color="auto" w:sz="0" w:space="0"/>
          <w:shd w:val="clear" w:fill="FFFFFF"/>
        </w:rPr>
        <w:t>增长的主要原因一是增设职业年金缴费，二是机构改革退休人员增加。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bdr w:val="none" w:color="auto" w:sz="0" w:space="0"/>
          <w:shd w:val="clear" w:fill="FFFFFF"/>
        </w:rPr>
        <w:t>  （三） 210类卫生健康支出248.26万元，</w:t>
      </w:r>
      <w:r>
        <w:rPr>
          <w:rFonts w:hint="eastAsia" w:ascii="仿宋_GB2312" w:hAnsi="Helvetica" w:eastAsia="仿宋_GB2312" w:cs="仿宋_GB2312"/>
          <w:b w:val="0"/>
          <w:i w:val="0"/>
          <w:caps w:val="0"/>
          <w:color w:val="333333"/>
          <w:spacing w:val="0"/>
          <w:sz w:val="32"/>
          <w:szCs w:val="32"/>
          <w:bdr w:val="none" w:color="auto" w:sz="0" w:space="0"/>
          <w:shd w:val="clear" w:fill="FFFFFF"/>
        </w:rPr>
        <w:t>占一般公共预算0.73%，同比增加93.01万元，同比增长59.91%。主要用于行政单位医疗、公务员医疗补助。</w:t>
      </w:r>
      <w:r>
        <w:rPr>
          <w:rFonts w:ascii="华文仿宋" w:hAnsi="华文仿宋" w:eastAsia="华文仿宋" w:cs="华文仿宋"/>
          <w:b w:val="0"/>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bdr w:val="none" w:color="auto" w:sz="0" w:space="0"/>
          <w:shd w:val="clear" w:fill="FFFFFF"/>
        </w:rPr>
        <w:t>  （四） 211类节能环保支出1300万元，</w:t>
      </w:r>
      <w:r>
        <w:rPr>
          <w:rFonts w:hint="eastAsia" w:ascii="仿宋_GB2312" w:hAnsi="Helvetica" w:eastAsia="仿宋_GB2312" w:cs="仿宋_GB2312"/>
          <w:b w:val="0"/>
          <w:i w:val="0"/>
          <w:caps w:val="0"/>
          <w:color w:val="333333"/>
          <w:spacing w:val="0"/>
          <w:sz w:val="32"/>
          <w:szCs w:val="32"/>
          <w:bdr w:val="none" w:color="auto" w:sz="0" w:space="0"/>
          <w:shd w:val="clear" w:fill="FFFFFF"/>
        </w:rPr>
        <w:t>占一般公共预算3.82%，，同比减少1000万元，同比下降43.48%，用于</w:t>
      </w:r>
      <w:r>
        <w:rPr>
          <w:rFonts w:hint="eastAsia" w:ascii="仿宋_GB2312" w:hAnsi="Helvetica" w:eastAsia="仿宋_GB2312" w:cs="仿宋_GB2312"/>
          <w:i w:val="0"/>
          <w:caps w:val="0"/>
          <w:color w:val="333333"/>
          <w:spacing w:val="0"/>
          <w:sz w:val="32"/>
          <w:szCs w:val="32"/>
          <w:bdr w:val="none" w:color="auto" w:sz="0" w:space="0"/>
          <w:shd w:val="clear" w:fill="FFFFFF"/>
        </w:rPr>
        <w:t>全市性大专项节能减排专项支出。下降的原因为</w:t>
      </w:r>
      <w:r>
        <w:rPr>
          <w:rFonts w:hint="eastAsia" w:ascii="仿宋_GB2312" w:hAnsi="Helvetica" w:eastAsia="仿宋_GB2312" w:cs="仿宋_GB2312"/>
          <w:b w:val="0"/>
          <w:i w:val="0"/>
          <w:caps w:val="0"/>
          <w:color w:val="333333"/>
          <w:spacing w:val="0"/>
          <w:sz w:val="32"/>
          <w:szCs w:val="32"/>
          <w:bdr w:val="none" w:color="auto" w:sz="0" w:space="0"/>
          <w:shd w:val="clear" w:fill="FFFFFF"/>
        </w:rPr>
        <w:t>节能减排专项资金划1000万元由环保局管理。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bdr w:val="none" w:color="auto" w:sz="0" w:space="0"/>
          <w:shd w:val="clear" w:fill="FFFFFF"/>
        </w:rPr>
        <w:t>（五）212城乡社区支出27836万元，</w:t>
      </w:r>
      <w:r>
        <w:rPr>
          <w:rFonts w:hint="eastAsia" w:ascii="仿宋_GB2312" w:hAnsi="Helvetica" w:eastAsia="仿宋_GB2312" w:cs="仿宋_GB2312"/>
          <w:b w:val="0"/>
          <w:i w:val="0"/>
          <w:caps w:val="0"/>
          <w:color w:val="333333"/>
          <w:spacing w:val="0"/>
          <w:sz w:val="32"/>
          <w:szCs w:val="32"/>
          <w:bdr w:val="none" w:color="auto" w:sz="0" w:space="0"/>
          <w:shd w:val="clear" w:fill="FFFFFF"/>
        </w:rPr>
        <w:t>占一般公共预算81.79%，，同比减少2664万元，同比下降8.73%，用于城乡社区规划与管理、其他城乡社区公共设施支出和其他城乡社区支出，下降的主要原因为经济下行压力大，厉行节约，压缩经费。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bdr w:val="none" w:color="auto" w:sz="0" w:space="0"/>
          <w:shd w:val="clear" w:fill="FFFFFF"/>
        </w:rPr>
        <w:t>（六）221类住房保障支出173.69万元，占一般公共预算0.51%，同比增加24.77万元，同比增长16.64%。用于行政事业单位住房公积金支出。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（七）222粮油物资储备支出1636.23万元，</w:t>
      </w:r>
      <w:r>
        <w:rPr>
          <w:rFonts w:hint="eastAsia" w:ascii="仿宋_GB2312" w:hAnsi="Helvetica" w:eastAsia="仿宋_GB2312" w:cs="仿宋_GB2312"/>
          <w:b w:val="0"/>
          <w:i w:val="0"/>
          <w:caps w:val="0"/>
          <w:color w:val="333333"/>
          <w:spacing w:val="0"/>
          <w:sz w:val="32"/>
          <w:szCs w:val="32"/>
          <w:bdr w:val="none" w:color="auto" w:sz="0" w:space="0"/>
          <w:shd w:val="clear" w:fill="FFFFFF"/>
        </w:rPr>
        <w:t>占一般公共预算4.81%，同比增加</w:t>
      </w:r>
      <w:r>
        <w:rPr>
          <w:rFonts w:hint="eastAsia" w:ascii="仿宋_GB2312" w:hAnsi="Helvetica" w:eastAsia="仿宋_GB2312" w:cs="仿宋_GB2312"/>
          <w:i w:val="0"/>
          <w:caps w:val="0"/>
          <w:color w:val="000000"/>
          <w:spacing w:val="0"/>
          <w:sz w:val="32"/>
          <w:szCs w:val="32"/>
          <w:bdr w:val="none" w:color="auto" w:sz="0" w:space="0"/>
          <w:shd w:val="clear" w:fill="FFFFFF"/>
        </w:rPr>
        <w:t>1636.23万元，用于行政运行（粮油事务）、一般行政管理事务（粮油事务）、粮食专项业务活动、其他粮油事务支出，增长的原因是2019年机构改革，粮食局及二层单位并入我委。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三、一般公共预算基本支出情况说明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bdr w:val="none" w:color="auto" w:sz="0" w:space="0"/>
          <w:shd w:val="clear" w:fill="FFFFFF"/>
        </w:rPr>
        <w:t>2020年部门一般公共预算基本支出2513.13万元，同比增加596.11万元，同比增长31.10%，</w:t>
      </w:r>
      <w:r>
        <w:rPr>
          <w:rFonts w:hint="eastAsia" w:ascii="仿宋_GB2312" w:hAnsi="Helvetica" w:eastAsia="仿宋_GB2312" w:cs="仿宋_GB2312"/>
          <w:i w:val="0"/>
          <w:caps w:val="0"/>
          <w:color w:val="000000"/>
          <w:spacing w:val="0"/>
          <w:sz w:val="32"/>
          <w:szCs w:val="32"/>
          <w:bdr w:val="none" w:color="auto" w:sz="0" w:space="0"/>
          <w:shd w:val="clear" w:fill="FFFFFF"/>
        </w:rPr>
        <w:t>增加的主要原因一是机构改革并入物价局和粮食局，人员增加，经费相应增加，二是增加了职业年金缴费</w:t>
      </w:r>
      <w:r>
        <w:rPr>
          <w:rFonts w:hint="eastAsia" w:ascii="仿宋_GB2312" w:hAnsi="Helvetica" w:eastAsia="仿宋_GB2312" w:cs="仿宋_GB2312"/>
          <w:b w:val="0"/>
          <w:i w:val="0"/>
          <w:caps w:val="0"/>
          <w:color w:val="333333"/>
          <w:spacing w:val="0"/>
          <w:sz w:val="32"/>
          <w:szCs w:val="32"/>
          <w:bdr w:val="none" w:color="auto" w:sz="0" w:space="0"/>
          <w:shd w:val="clear" w:fill="FFFFFF"/>
        </w:rPr>
        <w:t>。按支出经济分类科目划分，具体人员、公用经费安排如下：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bdr w:val="none" w:color="auto" w:sz="0" w:space="0"/>
          <w:shd w:val="clear" w:fill="FFFFFF"/>
        </w:rPr>
        <w:t>（一）人员经费2128.64万元，同比增加591.77万元，同比增长38.50%，</w:t>
      </w:r>
      <w:r>
        <w:rPr>
          <w:rFonts w:hint="eastAsia" w:ascii="仿宋_GB2312" w:hAnsi="Helvetica" w:eastAsia="仿宋_GB2312" w:cs="仿宋_GB2312"/>
          <w:i w:val="0"/>
          <w:caps w:val="0"/>
          <w:color w:val="000000"/>
          <w:spacing w:val="0"/>
          <w:sz w:val="32"/>
          <w:szCs w:val="32"/>
          <w:bdr w:val="none" w:color="auto" w:sz="0" w:space="0"/>
          <w:shd w:val="clear" w:fill="FFFFFF"/>
        </w:rPr>
        <w:t>其中</w:t>
      </w:r>
      <w:r>
        <w:rPr>
          <w:rFonts w:hint="eastAsia" w:ascii="仿宋_GB2312" w:hAnsi="Helvetica" w:eastAsia="仿宋_GB2312" w:cs="仿宋_GB2312"/>
          <w:b w:val="0"/>
          <w:i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基本工资</w:t>
      </w:r>
      <w:r>
        <w:rPr>
          <w:rFonts w:hint="eastAsia" w:ascii="仿宋_GB2312" w:hAnsi="Helvetica" w:eastAsia="仿宋_GB2312" w:cs="仿宋_GB2312"/>
          <w:b w:val="0"/>
          <w:i w:val="0"/>
          <w:caps w:val="0"/>
          <w:color w:val="333333"/>
          <w:spacing w:val="0"/>
          <w:sz w:val="32"/>
          <w:szCs w:val="32"/>
          <w:bdr w:val="none" w:color="auto" w:sz="0" w:space="0"/>
          <w:shd w:val="clear" w:fill="FFFFFF"/>
        </w:rPr>
        <w:t>481.86万元，同比增加102.43万元，同比增长26.99%；</w:t>
      </w:r>
      <w:r>
        <w:rPr>
          <w:rFonts w:hint="eastAsia" w:ascii="仿宋_GB2312" w:hAnsi="Helvetica" w:eastAsia="仿宋_GB2312" w:cs="仿宋_GB2312"/>
          <w:i w:val="0"/>
          <w:caps w:val="0"/>
          <w:color w:val="000000"/>
          <w:spacing w:val="0"/>
          <w:sz w:val="32"/>
          <w:szCs w:val="32"/>
          <w:bdr w:val="none" w:color="auto" w:sz="0" w:space="0"/>
          <w:shd w:val="clear" w:fill="FFFFFF"/>
        </w:rPr>
        <w:t>津贴补贴</w:t>
      </w:r>
      <w:r>
        <w:rPr>
          <w:rFonts w:hint="eastAsia" w:ascii="仿宋_GB2312" w:hAnsi="Helvetica" w:eastAsia="仿宋_GB2312" w:cs="仿宋_GB2312"/>
          <w:b w:val="0"/>
          <w:i w:val="0"/>
          <w:caps w:val="0"/>
          <w:color w:val="333333"/>
          <w:spacing w:val="0"/>
          <w:sz w:val="32"/>
          <w:szCs w:val="32"/>
          <w:bdr w:val="none" w:color="auto" w:sz="0" w:space="0"/>
          <w:shd w:val="clear" w:fill="FFFFFF"/>
        </w:rPr>
        <w:t>410.51万元，同比增加66.74万元，同比增长19.41%；奖金351.46万元，同比增加136.62万元，同比增长63.59%；机关事业单位基本养老保险缴费231.58万元，同比减少16.61万元，同比下降6.69%；职业年金缴费115.79万元，同比增加115.79万元，第一次下达职业年金缴费预算；职工基本医疗保险缴费108.55万元，同比增加15.48万元，同比增长16.64%；公务员医疗补助缴费130.70万元，同比增加68.53万元，同比增长110.21%；其他社会保障缴费12.21万元，同比增加3.33万元，同比增长37.53%；住房公积金173.69万元，同比增加24.77万元，同比增长16.64%；离休费12.99万元，同比增加12.99万元，离休干部为机构改革从市粮食局并入一人；退休费90.31万元，同比增加52.69万元，同比增长140.07%；医疗费补助9万元，同比增加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bdr w:val="none" w:color="auto" w:sz="0" w:space="0"/>
          <w:shd w:val="clear" w:fill="FFFFFF"/>
        </w:rPr>
        <w:t>（二）公用经费384.48万元，同比增加4.34万元，同比增长1.14%。其中：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办公费</w:t>
      </w:r>
      <w:r>
        <w:rPr>
          <w:rFonts w:hint="eastAsia" w:ascii="仿宋_GB2312" w:hAnsi="Helvetica" w:eastAsia="仿宋_GB2312" w:cs="仿宋_GB2312"/>
          <w:b w:val="0"/>
          <w:i w:val="0"/>
          <w:caps w:val="0"/>
          <w:color w:val="333333"/>
          <w:spacing w:val="0"/>
          <w:sz w:val="32"/>
          <w:szCs w:val="32"/>
          <w:bdr w:val="none" w:color="auto" w:sz="0" w:space="0"/>
          <w:shd w:val="clear" w:fill="FFFFFF"/>
        </w:rPr>
        <w:t>34.68万元，同比增加3.55万元，同比增长11.41%；</w:t>
      </w:r>
      <w:r>
        <w:rPr>
          <w:rFonts w:hint="eastAsia" w:ascii="仿宋_GB2312" w:hAnsi="Helvetica" w:eastAsia="仿宋_GB2312" w:cs="仿宋_GB2312"/>
          <w:i w:val="0"/>
          <w:caps w:val="0"/>
          <w:color w:val="000000"/>
          <w:spacing w:val="0"/>
          <w:sz w:val="32"/>
          <w:szCs w:val="32"/>
          <w:bdr w:val="none" w:color="auto" w:sz="0" w:space="0"/>
          <w:shd w:val="clear" w:fill="FFFFFF"/>
        </w:rPr>
        <w:t>印刷费</w:t>
      </w:r>
      <w:r>
        <w:rPr>
          <w:rFonts w:hint="eastAsia" w:ascii="仿宋_GB2312" w:hAnsi="Helvetica" w:eastAsia="仿宋_GB2312" w:cs="仿宋_GB2312"/>
          <w:b w:val="0"/>
          <w:i w:val="0"/>
          <w:caps w:val="0"/>
          <w:color w:val="333333"/>
          <w:spacing w:val="0"/>
          <w:sz w:val="32"/>
          <w:szCs w:val="32"/>
          <w:bdr w:val="none" w:color="auto" w:sz="0" w:space="0"/>
          <w:shd w:val="clear" w:fill="FFFFFF"/>
        </w:rPr>
        <w:t>5.37万元，同比增加0.74万元，同比增长15.98%；水费0.25万元，同比减少2.92万元，同比下降92.11%；电费1.10万元，同比减少12.73万元，同比下降92.05%；邮电费27.89万元，同比增加2.82万元，同比增长11.25%；物业管理费2.5万元，同比增加0.2万元，同比增长8.7%；差旅费50.3万元，同比增加4.8万元，同比增长10.55%；维修（护）费7.91万元，同比增加0.71万元，同比增长9.87%；会议费8.75万元，同比增加0.7万元，同比增长8.7%；培训费8.31万元，同比增加0.82万元，同比增长10.95%；公务接待费5.41万元，同比增加0.51万元，同比增长10.42%；工会经费28.95万元，同比增加4.13万元，同比增长16.64%；公务用车运行维护费2万元，同比减少2万元，同比下降50%；其他交通费用115.14万元，同比增加11.76万元，同比增长11.38%；其他商品和服务支出85.94万元，同比减少8.75万元，同比下降9.24%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四、一般公共预算“三公”经费情况说明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2020年一般公共预算安排的“三公”经费支出预算12.81万元，比2019年预算8.9万元，同比增加3.91万元，同比增长43.96%。增加的主要原因为机构改革，原物价局、粮食局及其二层机构并入我委。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（一）因公出国（境）经费2020年预算0万元，同比上年持平。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bdr w:val="none" w:color="auto" w:sz="0" w:space="0"/>
          <w:shd w:val="clear" w:fill="FFFFFF"/>
        </w:rPr>
        <w:t>（二）</w:t>
      </w:r>
      <w:r>
        <w:rPr>
          <w:rFonts w:hint="eastAsia" w:ascii="仿宋_GB2312" w:hAnsi="Helvetica" w:eastAsia="仿宋_GB2312" w:cs="仿宋_GB2312"/>
          <w:i w:val="0"/>
          <w:caps w:val="0"/>
          <w:color w:val="000000"/>
          <w:spacing w:val="0"/>
          <w:sz w:val="32"/>
          <w:szCs w:val="32"/>
          <w:bdr w:val="none" w:color="auto" w:sz="0" w:space="0"/>
          <w:shd w:val="clear" w:fill="FFFFFF"/>
        </w:rPr>
        <w:t>公务接待费2020年预算10.81万元，同比增加4.90万元，同比增长120.74%，增加原因是机构改革，原物价局、粮食局及其二层机构并入我委。  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bdr w:val="none" w:color="auto" w:sz="0" w:space="0"/>
          <w:shd w:val="clear" w:fill="FFFFFF"/>
        </w:rPr>
        <w:t>（三）</w:t>
      </w:r>
      <w:r>
        <w:rPr>
          <w:rFonts w:hint="eastAsia" w:ascii="仿宋_GB2312" w:hAnsi="Helvetica" w:eastAsia="仿宋_GB2312" w:cs="仿宋_GB2312"/>
          <w:i w:val="0"/>
          <w:caps w:val="0"/>
          <w:color w:val="000000"/>
          <w:spacing w:val="0"/>
          <w:sz w:val="32"/>
          <w:szCs w:val="32"/>
          <w:bdr w:val="none" w:color="auto" w:sz="0" w:space="0"/>
          <w:shd w:val="clear" w:fill="FFFFFF"/>
        </w:rPr>
        <w:t>公务用车购置费及运行费2020年预算2万元，同比减少2万元，同比下降50%，减少原因为汽车数减少一辆。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1.公务用车购置费2020年预算0万元，同比上年持平。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2.公务用车运行维护费2020年预算2万元，同比减少2万元，同比下降50%，减少的原因是减少一辆汽车。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五、部门收支预算情况说明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bdr w:val="none" w:color="auto" w:sz="0" w:space="0"/>
          <w:shd w:val="clear" w:fill="FFFFFF"/>
        </w:rPr>
        <w:t>2020年部门收支总预算34032.23万元，同比减少1352.72万元，同比下降3.82%，减少的主要原因：节能减排专项资金划1000万元到环保局管理；柳州市信息化建设管理中心划入市大数据发展局导致减少支出977.41万元，其他城乡社区公共设施支出减少1500万元，其他城乡社区支出减少1164万元；新增机关事业单位职业年金缴费支出115.79万元，因机构改革，物价局和粮食局及其二层单位并入发改委，增加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六、部门收入预算情况说明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2020年部门收入总预算34032.23万元，</w:t>
      </w:r>
      <w:r>
        <w:rPr>
          <w:rFonts w:hint="eastAsia" w:ascii="仿宋_GB2312" w:hAnsi="Helvetica" w:eastAsia="仿宋_GB2312" w:cs="仿宋_GB2312"/>
          <w:i w:val="0"/>
          <w:caps w:val="0"/>
          <w:color w:val="333333"/>
          <w:spacing w:val="0"/>
          <w:sz w:val="32"/>
          <w:szCs w:val="32"/>
          <w:bdr w:val="none" w:color="auto" w:sz="0" w:space="0"/>
          <w:shd w:val="clear" w:fill="FFFFFF"/>
        </w:rPr>
        <w:t>同比减少1352.72万元，同比下降1352.72%。2020年</w:t>
      </w:r>
      <w:r>
        <w:rPr>
          <w:rFonts w:hint="eastAsia" w:ascii="仿宋_GB2312" w:hAnsi="Helvetica" w:eastAsia="仿宋_GB2312" w:cs="仿宋_GB2312"/>
          <w:i w:val="0"/>
          <w:caps w:val="0"/>
          <w:color w:val="000000"/>
          <w:spacing w:val="0"/>
          <w:sz w:val="32"/>
          <w:szCs w:val="32"/>
          <w:bdr w:val="none" w:color="auto" w:sz="0" w:space="0"/>
          <w:shd w:val="clear" w:fill="FFFFFF"/>
        </w:rPr>
        <w:t>部门</w:t>
      </w:r>
      <w:r>
        <w:rPr>
          <w:rFonts w:hint="eastAsia" w:ascii="仿宋_GB2312" w:hAnsi="Helvetica" w:eastAsia="仿宋_GB2312" w:cs="仿宋_GB2312"/>
          <w:i w:val="0"/>
          <w:caps w:val="0"/>
          <w:color w:val="333333"/>
          <w:spacing w:val="0"/>
          <w:sz w:val="32"/>
          <w:szCs w:val="32"/>
          <w:bdr w:val="none" w:color="auto" w:sz="0" w:space="0"/>
          <w:shd w:val="clear" w:fill="FFFFFF"/>
        </w:rPr>
        <w:t>收入预算总体减少的主要原因：</w:t>
      </w:r>
      <w:r>
        <w:rPr>
          <w:rFonts w:hint="eastAsia" w:ascii="仿宋_GB2312" w:hAnsi="Helvetica" w:eastAsia="仿宋_GB2312" w:cs="仿宋_GB2312"/>
          <w:b w:val="0"/>
          <w:i w:val="0"/>
          <w:caps w:val="0"/>
          <w:color w:val="333333"/>
          <w:spacing w:val="0"/>
          <w:sz w:val="32"/>
          <w:szCs w:val="32"/>
          <w:bdr w:val="none" w:color="auto" w:sz="0" w:space="0"/>
          <w:shd w:val="clear" w:fill="FFFFFF"/>
        </w:rPr>
        <w:t>节能减排专项资金划1000万元到环保局管理；柳州市信息化建设管理中心划入市大数据发展局导致减少支出977.41万元，其他城乡社区公共设施支出减少1500万元，其他城乡社区支出减少1164万元；新增机关事业单位职业年金缴费支出115.79万元，因机构改革，物价局和粮食局及其二层单位并入发改委，增加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一般公共预算收入34032.23万元，</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同比减少1352.72万元，同比下降3.82%。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七、部门支出预算情况说明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2020年部门支出总预算34032.23万元，</w:t>
      </w:r>
      <w:r>
        <w:rPr>
          <w:rFonts w:hint="eastAsia" w:ascii="仿宋_GB2312" w:hAnsi="Helvetica" w:eastAsia="仿宋_GB2312" w:cs="仿宋_GB2312"/>
          <w:i w:val="0"/>
          <w:caps w:val="0"/>
          <w:color w:val="333333"/>
          <w:spacing w:val="0"/>
          <w:sz w:val="32"/>
          <w:szCs w:val="32"/>
          <w:bdr w:val="none" w:color="auto" w:sz="0" w:space="0"/>
          <w:shd w:val="clear" w:fill="FFFFFF"/>
        </w:rPr>
        <w:t>同比减少1352.72万元，同比下降3.82%。2020年</w:t>
      </w:r>
      <w:r>
        <w:rPr>
          <w:rFonts w:hint="eastAsia" w:ascii="仿宋_GB2312" w:hAnsi="Helvetica" w:eastAsia="仿宋_GB2312" w:cs="仿宋_GB2312"/>
          <w:i w:val="0"/>
          <w:caps w:val="0"/>
          <w:color w:val="000000"/>
          <w:spacing w:val="0"/>
          <w:sz w:val="32"/>
          <w:szCs w:val="32"/>
          <w:bdr w:val="none" w:color="auto" w:sz="0" w:space="0"/>
          <w:shd w:val="clear" w:fill="FFFFFF"/>
        </w:rPr>
        <w:t>部门</w:t>
      </w:r>
      <w:r>
        <w:rPr>
          <w:rFonts w:hint="eastAsia" w:ascii="仿宋_GB2312" w:hAnsi="Helvetica" w:eastAsia="仿宋_GB2312" w:cs="仿宋_GB2312"/>
          <w:i w:val="0"/>
          <w:caps w:val="0"/>
          <w:color w:val="333333"/>
          <w:spacing w:val="0"/>
          <w:sz w:val="32"/>
          <w:szCs w:val="32"/>
          <w:bdr w:val="none" w:color="auto" w:sz="0" w:space="0"/>
          <w:shd w:val="clear" w:fill="FFFFFF"/>
        </w:rPr>
        <w:t>支出预算总体减少的主要原因：</w:t>
      </w:r>
      <w:r>
        <w:rPr>
          <w:rFonts w:hint="eastAsia" w:ascii="仿宋_GB2312" w:hAnsi="Helvetica" w:eastAsia="仿宋_GB2312" w:cs="仿宋_GB2312"/>
          <w:b w:val="0"/>
          <w:i w:val="0"/>
          <w:caps w:val="0"/>
          <w:color w:val="333333"/>
          <w:spacing w:val="0"/>
          <w:sz w:val="32"/>
          <w:szCs w:val="32"/>
          <w:bdr w:val="none" w:color="auto" w:sz="0" w:space="0"/>
          <w:shd w:val="clear" w:fill="FFFFFF"/>
        </w:rPr>
        <w:t>节能减排专项资金划1000万元到环保局管理；柳州市信息化建设管理中心划入市大数据发展局导致减少支出977.41万元，其他城乡社区公共设施支出减少1500万元，其他城乡社区支出减少1164万元；新增机关事业单位职业年金缴费支出115.79万元，因机构改革，物价局和粮食局及其二层单位并入发改委，增加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bdr w:val="none" w:color="auto" w:sz="0" w:space="0"/>
          <w:shd w:val="clear" w:fill="FFFFFF"/>
        </w:rPr>
        <w:t>（一）按支出功能分类科目划分（可参考表六支出项目进行说明）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bdr w:val="none" w:color="auto" w:sz="0" w:space="0"/>
          <w:shd w:val="clear" w:fill="FFFFFF"/>
        </w:rPr>
        <w:t>1.一般公共服务支出2373.54万元；占支出总预算6.97%，同比增加384.28万元，同比增长19.32%。主要用于</w:t>
      </w:r>
      <w:r>
        <w:rPr>
          <w:rFonts w:hint="eastAsia" w:ascii="仿宋_GB2312" w:hAnsi="Helvetica" w:eastAsia="仿宋_GB2312" w:cs="仿宋_GB2312"/>
          <w:i w:val="0"/>
          <w:caps w:val="0"/>
          <w:color w:val="000000"/>
          <w:spacing w:val="0"/>
          <w:sz w:val="32"/>
          <w:szCs w:val="32"/>
          <w:bdr w:val="none" w:color="auto" w:sz="0" w:space="0"/>
          <w:shd w:val="clear" w:fill="FFFFFF"/>
        </w:rPr>
        <w:t>保障我委日常运转发生的支出，如根据国家规定的基本工资和津补贴标准等安排的人员经费支出，按标准安排的办公费、印刷费、培训费、差旅费、会议费等日常公用经费支出；</w:t>
      </w:r>
      <w:r>
        <w:rPr>
          <w:rFonts w:hint="eastAsia" w:ascii="仿宋_GB2312" w:hAnsi="Helvetica" w:eastAsia="仿宋_GB2312" w:cs="仿宋_GB2312"/>
          <w:i w:val="0"/>
          <w:caps w:val="0"/>
          <w:color w:val="333333"/>
          <w:spacing w:val="0"/>
          <w:sz w:val="32"/>
          <w:szCs w:val="32"/>
          <w:bdr w:val="none" w:color="auto" w:sz="0" w:space="0"/>
          <w:shd w:val="clear" w:fill="FFFFFF"/>
        </w:rPr>
        <w:t>我委为完成各项发改工作任务、保障发改事业发展而发生的项目支出。</w:t>
      </w:r>
      <w:r>
        <w:rPr>
          <w:rFonts w:hint="eastAsia" w:ascii="仿宋_GB2312" w:hAnsi="Helvetica" w:eastAsia="仿宋_GB2312" w:cs="仿宋_GB2312"/>
          <w:i w:val="0"/>
          <w:caps w:val="0"/>
          <w:color w:val="000000"/>
          <w:spacing w:val="0"/>
          <w:sz w:val="32"/>
          <w:szCs w:val="32"/>
          <w:bdr w:val="none" w:color="auto" w:sz="0" w:space="0"/>
          <w:shd w:val="clear" w:fill="FFFFFF"/>
        </w:rPr>
        <w:t>增长的主要原因是2019年机构改革，市物价局、粮食局及二层机构并入我委，人员增加造成。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bdr w:val="none" w:color="auto" w:sz="0" w:space="0"/>
          <w:shd w:val="clear" w:fill="FFFFFF"/>
        </w:rPr>
        <w:t>2.208类社会保障和就业支出464.51万元，占一般公共预算1.36%，同比增加172.99万元，同比增长59.34%。用于行政单位离退休费、机关事业单位基本养老保险缴费支出、机关事业单位职业年金缴费支出。</w:t>
      </w:r>
      <w:r>
        <w:rPr>
          <w:rFonts w:hint="eastAsia" w:ascii="仿宋_GB2312" w:hAnsi="Helvetica" w:eastAsia="仿宋_GB2312" w:cs="仿宋_GB2312"/>
          <w:i w:val="0"/>
          <w:caps w:val="0"/>
          <w:color w:val="333333"/>
          <w:spacing w:val="0"/>
          <w:sz w:val="32"/>
          <w:szCs w:val="32"/>
          <w:bdr w:val="none" w:color="auto" w:sz="0" w:space="0"/>
          <w:shd w:val="clear" w:fill="FFFFFF"/>
        </w:rPr>
        <w:t>增长的主要原因一是增设职业年金缴费，二是机构改革退休人员增加。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bdr w:val="none" w:color="auto" w:sz="0" w:space="0"/>
          <w:shd w:val="clear" w:fill="FFFFFF"/>
        </w:rPr>
        <w:t>  3. 210类卫生健康支出248.26万元，</w:t>
      </w:r>
      <w:r>
        <w:rPr>
          <w:rFonts w:hint="eastAsia" w:ascii="仿宋_GB2312" w:hAnsi="Helvetica" w:eastAsia="仿宋_GB2312" w:cs="仿宋_GB2312"/>
          <w:b w:val="0"/>
          <w:i w:val="0"/>
          <w:caps w:val="0"/>
          <w:color w:val="333333"/>
          <w:spacing w:val="0"/>
          <w:sz w:val="32"/>
          <w:szCs w:val="32"/>
          <w:bdr w:val="none" w:color="auto" w:sz="0" w:space="0"/>
          <w:shd w:val="clear" w:fill="FFFFFF"/>
        </w:rPr>
        <w:t>占一般公共预算0.73%，同比增加93.01万元，同比增长59.91%。主要用于行政单位医疗、公务员医疗补助。</w:t>
      </w:r>
      <w:r>
        <w:rPr>
          <w:rFonts w:hint="eastAsia" w:ascii="华文仿宋" w:hAnsi="华文仿宋" w:eastAsia="华文仿宋" w:cs="华文仿宋"/>
          <w:b w:val="0"/>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bdr w:val="none" w:color="auto" w:sz="0" w:space="0"/>
          <w:shd w:val="clear" w:fill="FFFFFF"/>
        </w:rPr>
        <w:t>  4. 211类节能环保支出1300万元，</w:t>
      </w:r>
      <w:r>
        <w:rPr>
          <w:rFonts w:hint="eastAsia" w:ascii="仿宋_GB2312" w:hAnsi="Helvetica" w:eastAsia="仿宋_GB2312" w:cs="仿宋_GB2312"/>
          <w:b w:val="0"/>
          <w:i w:val="0"/>
          <w:caps w:val="0"/>
          <w:color w:val="333333"/>
          <w:spacing w:val="0"/>
          <w:sz w:val="32"/>
          <w:szCs w:val="32"/>
          <w:bdr w:val="none" w:color="auto" w:sz="0" w:space="0"/>
          <w:shd w:val="clear" w:fill="FFFFFF"/>
        </w:rPr>
        <w:t>占一般公共预算3.82%，，同比减少1000万元，同比下降43.48%，用于</w:t>
      </w:r>
      <w:r>
        <w:rPr>
          <w:rFonts w:hint="eastAsia" w:ascii="仿宋_GB2312" w:hAnsi="Helvetica" w:eastAsia="仿宋_GB2312" w:cs="仿宋_GB2312"/>
          <w:i w:val="0"/>
          <w:caps w:val="0"/>
          <w:color w:val="333333"/>
          <w:spacing w:val="0"/>
          <w:sz w:val="32"/>
          <w:szCs w:val="32"/>
          <w:bdr w:val="none" w:color="auto" w:sz="0" w:space="0"/>
          <w:shd w:val="clear" w:fill="FFFFFF"/>
        </w:rPr>
        <w:t>全市性大专项节能减排专项支出。下降的原因为</w:t>
      </w:r>
      <w:r>
        <w:rPr>
          <w:rFonts w:hint="eastAsia" w:ascii="仿宋_GB2312" w:hAnsi="Helvetica" w:eastAsia="仿宋_GB2312" w:cs="仿宋_GB2312"/>
          <w:b w:val="0"/>
          <w:i w:val="0"/>
          <w:caps w:val="0"/>
          <w:color w:val="333333"/>
          <w:spacing w:val="0"/>
          <w:sz w:val="32"/>
          <w:szCs w:val="32"/>
          <w:bdr w:val="none" w:color="auto" w:sz="0" w:space="0"/>
          <w:shd w:val="clear" w:fill="FFFFFF"/>
        </w:rPr>
        <w:t>节能减排专项资金划1000万元由环保局管理。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bdr w:val="none" w:color="auto" w:sz="0" w:space="0"/>
          <w:shd w:val="clear" w:fill="FFFFFF"/>
        </w:rPr>
        <w:t>5.212城乡社区支出27836万元，</w:t>
      </w:r>
      <w:r>
        <w:rPr>
          <w:rFonts w:hint="eastAsia" w:ascii="仿宋_GB2312" w:hAnsi="Helvetica" w:eastAsia="仿宋_GB2312" w:cs="仿宋_GB2312"/>
          <w:b w:val="0"/>
          <w:i w:val="0"/>
          <w:caps w:val="0"/>
          <w:color w:val="333333"/>
          <w:spacing w:val="0"/>
          <w:sz w:val="32"/>
          <w:szCs w:val="32"/>
          <w:bdr w:val="none" w:color="auto" w:sz="0" w:space="0"/>
          <w:shd w:val="clear" w:fill="FFFFFF"/>
        </w:rPr>
        <w:t>占一般公共预算81.79%，，同比减少2664万元，同比下降8.73%，用于城乡社区规划与管理、其他城乡社区公共设施支出和其他城乡社区支出，下降的主要原因为经济下行压力大，厉行节约，压缩经费。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bdr w:val="none" w:color="auto" w:sz="0" w:space="0"/>
          <w:shd w:val="clear" w:fill="FFFFFF"/>
        </w:rPr>
        <w:t>6.221类住房保障支出173.69万元，占一般公共预算0.51%，同比增加24.77万元，同比增长16.64%。用于行政事业单位住房公积金支出。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7.222粮油物资储备支出1636.23万元，</w:t>
      </w:r>
      <w:r>
        <w:rPr>
          <w:rFonts w:hint="eastAsia" w:ascii="仿宋_GB2312" w:hAnsi="Helvetica" w:eastAsia="仿宋_GB2312" w:cs="仿宋_GB2312"/>
          <w:b w:val="0"/>
          <w:i w:val="0"/>
          <w:caps w:val="0"/>
          <w:color w:val="333333"/>
          <w:spacing w:val="0"/>
          <w:sz w:val="32"/>
          <w:szCs w:val="32"/>
          <w:bdr w:val="none" w:color="auto" w:sz="0" w:space="0"/>
          <w:shd w:val="clear" w:fill="FFFFFF"/>
        </w:rPr>
        <w:t>占一般公共预算4.81%，同比增加</w:t>
      </w:r>
      <w:r>
        <w:rPr>
          <w:rFonts w:hint="eastAsia" w:ascii="仿宋_GB2312" w:hAnsi="Helvetica" w:eastAsia="仿宋_GB2312" w:cs="仿宋_GB2312"/>
          <w:i w:val="0"/>
          <w:caps w:val="0"/>
          <w:color w:val="000000"/>
          <w:spacing w:val="0"/>
          <w:sz w:val="32"/>
          <w:szCs w:val="32"/>
          <w:bdr w:val="none" w:color="auto" w:sz="0" w:space="0"/>
          <w:shd w:val="clear" w:fill="FFFFFF"/>
        </w:rPr>
        <w:t>1636.23万元，用于行政运行（粮油事务）、一般行政管理事务（粮油事务）、粮食专项业务活动、其他粮油事务支出，增长的原因是2019年机构改革，粮食局及二层单位并入我委。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bdr w:val="none" w:color="auto" w:sz="0" w:space="0"/>
          <w:shd w:val="clear" w:fill="FFFFFF"/>
        </w:rPr>
        <w:t>（二）按支出结构划分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bdr w:val="none" w:color="auto" w:sz="0" w:space="0"/>
          <w:shd w:val="clear" w:fill="FFFFFF"/>
        </w:rPr>
        <w:t>1.基本支出2513.13万元；占</w:t>
      </w:r>
      <w:r>
        <w:rPr>
          <w:rFonts w:hint="eastAsia" w:ascii="仿宋_GB2312" w:hAnsi="Helvetica" w:eastAsia="仿宋_GB2312" w:cs="仿宋_GB2312"/>
          <w:i w:val="0"/>
          <w:caps w:val="0"/>
          <w:color w:val="000000"/>
          <w:spacing w:val="0"/>
          <w:sz w:val="32"/>
          <w:szCs w:val="32"/>
          <w:bdr w:val="none" w:color="auto" w:sz="0" w:space="0"/>
          <w:shd w:val="clear" w:fill="FFFFFF"/>
        </w:rPr>
        <w:t>支出总预算7.38%，同比增加596.11万元，同比增长31.10%。主要用于一是工资福利支出，如按规定发放的基本工资、津贴补贴、奖金、社会保障缴费、住房公积金等；二是商品和服务支出，如柳州市统一规定开支标准安排的办公费、印刷费、水电费、培训费、差旅费、会议费等日常公用经费支出。三是对个人和家庭的补助支出，如离休费、退休费。</w:t>
      </w:r>
      <w:r>
        <w:rPr>
          <w:rFonts w:ascii="微软雅黑" w:hAnsi="微软雅黑" w:eastAsia="微软雅黑" w:cs="微软雅黑"/>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0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bdr w:val="none" w:color="auto" w:sz="0" w:space="0"/>
          <w:shd w:val="clear" w:fill="FFFFFF"/>
        </w:rPr>
        <w:t>2.项目支出31519.10</w:t>
      </w:r>
      <w:r>
        <w:rPr>
          <w:rFonts w:hint="eastAsia" w:ascii="仿宋_GB2312" w:hAnsi="Helvetica" w:eastAsia="仿宋_GB2312" w:cs="仿宋_GB2312"/>
          <w:i w:val="0"/>
          <w:caps w:val="0"/>
          <w:color w:val="000000"/>
          <w:spacing w:val="0"/>
          <w:sz w:val="32"/>
          <w:szCs w:val="32"/>
          <w:bdr w:val="none" w:color="auto" w:sz="0" w:space="0"/>
          <w:shd w:val="clear" w:fill="FFFFFF"/>
        </w:rPr>
        <w:t>万元；占支出总预算92.62%，同比减少1948.83万元，同比下降5.82%。主要用于推进柳州发展的全市性大专项项目，如基本建设；城市规划编制和项目前期费用；城建项目前期经费；节能减排专项资金（节能）；粮油储备管理政策性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八、政府性基金预算情况说明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75" w:lineRule="atLeast"/>
        <w:ind w:left="0" w:right="0" w:firstLine="480"/>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sz w:val="32"/>
          <w:szCs w:val="32"/>
          <w:bdr w:val="none" w:color="auto" w:sz="0" w:space="0"/>
          <w:shd w:val="clear" w:fill="FFFFFF"/>
        </w:rPr>
        <w:t>  </w:t>
      </w:r>
      <w:r>
        <w:rPr>
          <w:rFonts w:hint="eastAsia" w:ascii="仿宋_GB2312" w:hAnsi="Helvetica" w:eastAsia="仿宋_GB2312" w:cs="仿宋_GB2312"/>
          <w:i w:val="0"/>
          <w:caps w:val="0"/>
          <w:color w:val="000000"/>
          <w:spacing w:val="0"/>
          <w:sz w:val="32"/>
          <w:szCs w:val="32"/>
          <w:bdr w:val="none" w:color="auto" w:sz="0" w:space="0"/>
          <w:shd w:val="clear" w:fill="FFFFFF"/>
        </w:rPr>
        <w:t>本部门无政府性基金预算。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left"/>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九、国有资本经营预算情况说明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bdr w:val="none" w:color="auto" w:sz="0" w:space="0"/>
          <w:shd w:val="clear" w:fill="FFFFFF"/>
        </w:rPr>
        <w:t>本部门无国有资本经营预算。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left"/>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十、政府采购预算情况说明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2020年政府采购预算103.30万元，同比减少204.84万元，下降66.48%，减少的原因原我委二层单位信息化建设管理中心的政府采购预算较多，该单位已</w:t>
      </w:r>
      <w:r>
        <w:rPr>
          <w:rFonts w:hint="eastAsia" w:ascii="仿宋_GB2312" w:hAnsi="Helvetica" w:eastAsia="仿宋_GB2312" w:cs="仿宋_GB2312"/>
          <w:i w:val="0"/>
          <w:caps w:val="0"/>
          <w:color w:val="333333"/>
          <w:spacing w:val="0"/>
          <w:kern w:val="0"/>
          <w:sz w:val="32"/>
          <w:szCs w:val="32"/>
          <w:bdr w:val="none" w:color="auto" w:sz="0" w:space="0"/>
          <w:shd w:val="clear" w:fill="FFFFFF"/>
          <w:lang w:val="en-US" w:eastAsia="zh-CN" w:bidi="ar"/>
        </w:rPr>
        <w:t>划入市大数据发展局</w:t>
      </w: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。按政府采购项目类型划分：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（一）集中采购10.80万元（全部为货物类采购10.8万元），占政府采购预算的10.46%，同比减少286.88万元，下降96.37%。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（二）分散采购92.50万元（其中：货物类采购9.5万元，工程类采购0万元，服务类采购83万元），占政府采购预算的89.54，同比增加82.04万元，增长784.32%。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left"/>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十一、政府购买服务预算情况说明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2020年纳入政府购买服务预算管理的项目有4个，涉及金额82万元。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sz w:val="32"/>
          <w:szCs w:val="32"/>
          <w:bdr w:val="none" w:color="auto" w:sz="0" w:space="0"/>
          <w:shd w:val="clear" w:fill="FFFFFF"/>
        </w:rPr>
        <w:t>十二、其他重要事项情况说明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楷体_GB2312" w:hAnsi="Helvetica" w:eastAsia="楷体_GB2312" w:cs="楷体_GB2312"/>
          <w:b/>
          <w:i w:val="0"/>
          <w:caps w:val="0"/>
          <w:color w:val="000000"/>
          <w:spacing w:val="0"/>
          <w:kern w:val="0"/>
          <w:sz w:val="32"/>
          <w:szCs w:val="32"/>
          <w:bdr w:val="none" w:color="auto" w:sz="0" w:space="0"/>
          <w:shd w:val="clear" w:fill="FFFFFF"/>
          <w:lang w:val="en-US" w:eastAsia="zh-CN" w:bidi="ar"/>
        </w:rPr>
        <w:t>（一）机关运行经费安排情况说明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2020年本级及下属单位共有1个行政机关和3个参照公务员法管理的事业单位，机关运行经费财政拨款预算384.48万元，同比增加4.34万元，同比增长1.15%，增加的原因是机构改革，原市物价局、粮食局及其二层机构并入我委，人员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楷体_GB2312" w:hAnsi="Helvetica" w:eastAsia="楷体_GB2312" w:cs="楷体_GB2312"/>
          <w:b/>
          <w:i w:val="0"/>
          <w:caps w:val="0"/>
          <w:color w:val="000000"/>
          <w:spacing w:val="0"/>
          <w:sz w:val="32"/>
          <w:szCs w:val="32"/>
          <w:bdr w:val="none" w:color="auto" w:sz="0" w:space="0"/>
          <w:shd w:val="clear" w:fill="FFFFFF"/>
        </w:rPr>
        <w:t>（二）国有资产占用情况说明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根据公务用车制度改革方案相关规定核定本部门保留的公务用车编制1辆，实有车辆1辆。其中：机关本级核定公务用车编制1辆，实有1辆公车。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楷体_GB2312" w:hAnsi="Helvetica" w:eastAsia="楷体_GB2312" w:cs="楷体_GB2312"/>
          <w:b/>
          <w:i w:val="0"/>
          <w:caps w:val="0"/>
          <w:color w:val="000000"/>
          <w:spacing w:val="0"/>
          <w:kern w:val="0"/>
          <w:sz w:val="32"/>
          <w:szCs w:val="32"/>
          <w:bdr w:val="none" w:color="auto" w:sz="0" w:space="0"/>
          <w:shd w:val="clear" w:fill="FFFFFF"/>
          <w:lang w:val="en-US" w:eastAsia="zh-CN" w:bidi="ar"/>
        </w:rPr>
        <w:t>（三）重点项目预算绩效目标等情况说明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75"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2020年纳入预算绩效目标管理的项目有2个，金额1682万元，涉及一般公共预算拨款支出1682万元。其中：</w:t>
      </w:r>
      <w:r>
        <w:rPr>
          <w:rFonts w:hint="eastAsia" w:ascii="仿宋_GB2312" w:hAnsi="Helvetica" w:eastAsia="仿宋_GB2312" w:cs="仿宋_GB2312"/>
          <w:i w:val="0"/>
          <w:caps w:val="0"/>
          <w:color w:val="333333"/>
          <w:spacing w:val="0"/>
          <w:sz w:val="32"/>
          <w:szCs w:val="32"/>
          <w:bdr w:val="none" w:color="auto" w:sz="0" w:space="0"/>
          <w:shd w:val="clear" w:fill="FFFFFF"/>
        </w:rPr>
        <w:t>粮油储备管理政策性补贴，项目预算1300万元；冻猪肉储备资金，项目预算382万元。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center"/>
        <w:rPr>
          <w:rFonts w:hint="default" w:ascii="Helvetica" w:hAnsi="Helvetica" w:eastAsia="Helvetica" w:cs="Helvetica"/>
          <w:i w:val="0"/>
          <w:caps w:val="0"/>
          <w:color w:val="333333"/>
          <w:spacing w:val="0"/>
          <w:sz w:val="24"/>
          <w:szCs w:val="24"/>
        </w:rPr>
      </w:pPr>
      <w:r>
        <w:rPr>
          <w:rStyle w:val="4"/>
          <w:rFonts w:hint="eastAsia" w:ascii="仿宋_GB2312" w:hAnsi="Helvetica" w:eastAsia="仿宋_GB2312" w:cs="仿宋_GB2312"/>
          <w:b/>
          <w:i w:val="0"/>
          <w:caps w:val="0"/>
          <w:color w:val="000000"/>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218" w:firstLine="480"/>
        <w:jc w:val="center"/>
        <w:rPr>
          <w:rFonts w:hint="default" w:ascii="Helvetica" w:hAnsi="Helvetica" w:eastAsia="Helvetica" w:cs="Helvetica"/>
          <w:i w:val="0"/>
          <w:caps w:val="0"/>
          <w:color w:val="333333"/>
          <w:spacing w:val="0"/>
          <w:sz w:val="24"/>
          <w:szCs w:val="24"/>
        </w:rPr>
      </w:pPr>
      <w:r>
        <w:rPr>
          <w:rStyle w:val="4"/>
          <w:rFonts w:hint="eastAsia" w:ascii="仿宋_GB2312" w:hAnsi="Helvetica" w:eastAsia="仿宋_GB2312" w:cs="仿宋_GB2312"/>
          <w:b/>
          <w:i w:val="0"/>
          <w:caps w:val="0"/>
          <w:color w:val="000000"/>
          <w:spacing w:val="0"/>
          <w:kern w:val="0"/>
          <w:sz w:val="32"/>
          <w:szCs w:val="32"/>
          <w:bdr w:val="none" w:color="auto" w:sz="0" w:space="0"/>
          <w:shd w:val="clear" w:fill="FFFFFF"/>
          <w:lang w:val="en-US" w:eastAsia="zh-CN" w:bidi="ar"/>
        </w:rPr>
        <w:t>第四部分：名词解释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一、财政拨款收入</w:t>
      </w: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：指市本级财政部门当年拨付的资金。  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二、事业收入</w:t>
      </w: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：指事业单位开展专业业务活动及辅助活动所取得的收入。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三、经营收入</w:t>
      </w: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：指事业单位在专业业务活动及其辅助活动之外开展非独立核算经营活动取得的收入。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四、其他收入</w:t>
      </w: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：指除上述“财政拨款收入”“事业收入”“经营收入”等以外的收入。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五、上年结转</w:t>
      </w: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：指以前年度尚未完成，按有关规定结转到本年继续使用的资金。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六、基本支出</w:t>
      </w: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七、项目支出</w:t>
      </w: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：指在基本支出之外为完成特定行政任务和事业发展目标所发生的支出。  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八、经营支出</w:t>
      </w: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：指事业单位在专业业务活动及其辅助活动之外开展非独立核算经营活动发生的支出。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九、“三公”经费</w:t>
      </w: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因公出国（境）费、公务用车购置及运行费和公务接待费简称为“三公”。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4"/>
          <w:rFonts w:hint="eastAsia" w:ascii="黑体" w:hAnsi="宋体" w:eastAsia="黑体" w:cs="黑体"/>
          <w:b/>
          <w:i w:val="0"/>
          <w:caps w:val="0"/>
          <w:color w:val="000000"/>
          <w:spacing w:val="0"/>
          <w:kern w:val="0"/>
          <w:sz w:val="32"/>
          <w:szCs w:val="32"/>
          <w:bdr w:val="none" w:color="auto" w:sz="0" w:space="0"/>
          <w:shd w:val="clear" w:fill="FFFFFF"/>
          <w:lang w:val="en-US" w:eastAsia="zh-CN" w:bidi="ar"/>
        </w:rPr>
        <w:t>十、机关运行经费</w:t>
      </w:r>
      <w:r>
        <w:rPr>
          <w:rFonts w:hint="eastAsia" w:ascii="仿宋_GB2312" w:hAnsi="Helvetica" w:eastAsia="仿宋_GB2312" w:cs="仿宋_GB2312"/>
          <w:i w:val="0"/>
          <w:caps w:val="0"/>
          <w:color w:val="000000"/>
          <w:spacing w:val="0"/>
          <w:kern w:val="0"/>
          <w:sz w:val="32"/>
          <w:szCs w:val="32"/>
          <w:bdr w:val="none" w:color="auto" w:sz="0" w:space="0"/>
          <w:shd w:val="clear" w:fill="FFFFFF"/>
          <w:lang w:val="en-US" w:eastAsia="zh-CN" w:bidi="ar"/>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75"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75"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bdr w:val="none" w:color="auto" w:sz="0" w:space="0"/>
          <w:shd w:val="clear" w:fill="FFFFFF"/>
        </w:rPr>
        <w:t>附表：柳州市发展和改革委员会2020年部门预算公开表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5252"/>
    <w:rsid w:val="3CD45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fgw</Company>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2022-07-12T01:30:00Z</dcterms:created>
  <dc:creator>lenovo</dc:creator>
  <cp:lastModifiedBy>lenovo</cp:lastModifiedBy>
  <dcterms:modified xsi:type="dcterms:W3CDTF">2022-07-12T01:31:31Z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