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cs="ArialUnicodeMS"/>
          <w:sz w:val="32"/>
          <w:szCs w:val="32"/>
        </w:rPr>
      </w:pPr>
    </w:p>
    <w:p>
      <w:pPr>
        <w:spacing w:line="360" w:lineRule="auto"/>
        <w:rPr>
          <w:rFonts w:ascii="黑体" w:eastAsia="黑体" w:cs="ArialUnicodeMS"/>
          <w:sz w:val="72"/>
          <w:szCs w:val="72"/>
        </w:rPr>
      </w:pPr>
    </w:p>
    <w:p>
      <w:pPr>
        <w:spacing w:line="360" w:lineRule="auto"/>
        <w:rPr>
          <w:rFonts w:ascii="黑体" w:eastAsia="黑体" w:cs="ArialUnicodeMS"/>
          <w:sz w:val="72"/>
          <w:szCs w:val="72"/>
        </w:rPr>
      </w:pPr>
    </w:p>
    <w:p>
      <w:pPr>
        <w:spacing w:line="360" w:lineRule="auto"/>
        <w:jc w:val="center"/>
        <w:rPr>
          <w:rFonts w:ascii="黑体" w:hAnsi="黑体" w:eastAsia="黑体"/>
          <w:b/>
          <w:bCs/>
          <w:color w:val="000000"/>
          <w:sz w:val="52"/>
          <w:szCs w:val="52"/>
        </w:rPr>
      </w:pPr>
      <w:r>
        <w:rPr>
          <w:rFonts w:hint="eastAsia" w:ascii="黑体" w:eastAsia="黑体" w:cs="ArialUnicodeMS"/>
          <w:b/>
          <w:sz w:val="52"/>
          <w:szCs w:val="52"/>
        </w:rPr>
        <w:t>柳州市</w:t>
      </w:r>
      <w:r>
        <w:rPr>
          <w:rFonts w:hint="eastAsia" w:ascii="黑体" w:hAnsi="黑体" w:eastAsia="黑体"/>
          <w:b/>
          <w:bCs/>
          <w:color w:val="000000"/>
          <w:sz w:val="52"/>
          <w:szCs w:val="52"/>
        </w:rPr>
        <w:t>社会福利院</w:t>
      </w:r>
    </w:p>
    <w:p>
      <w:pPr>
        <w:spacing w:line="360" w:lineRule="auto"/>
        <w:jc w:val="center"/>
        <w:rPr>
          <w:rFonts w:hint="eastAsia" w:ascii="黑体" w:eastAsia="黑体" w:cs="ArialUnicodeMS"/>
          <w:b/>
          <w:sz w:val="52"/>
          <w:szCs w:val="52"/>
          <w:lang w:eastAsia="zh-CN"/>
        </w:rPr>
      </w:pPr>
      <w:r>
        <w:rPr>
          <w:rFonts w:hint="eastAsia" w:ascii="黑体" w:eastAsia="黑体"/>
          <w:b/>
          <w:sz w:val="52"/>
          <w:szCs w:val="52"/>
        </w:rPr>
        <w:t>2021</w:t>
      </w:r>
      <w:r>
        <w:rPr>
          <w:rFonts w:hint="eastAsia" w:ascii="黑体" w:eastAsia="黑体" w:cs="ArialUnicodeMS"/>
          <w:b/>
          <w:sz w:val="52"/>
          <w:szCs w:val="52"/>
        </w:rPr>
        <w:t>年度</w:t>
      </w:r>
      <w:r>
        <w:rPr>
          <w:rFonts w:hint="eastAsia" w:ascii="黑体" w:eastAsia="黑体" w:cs="ArialUnicodeMS"/>
          <w:b/>
          <w:sz w:val="52"/>
          <w:szCs w:val="52"/>
          <w:lang w:eastAsia="zh-CN"/>
        </w:rPr>
        <w:t>单位决算</w:t>
      </w:r>
    </w:p>
    <w:p>
      <w:pPr>
        <w:spacing w:line="360" w:lineRule="auto"/>
        <w:rPr>
          <w:rFonts w:ascii="ArialUnicodeMS" w:eastAsia="ArialUnicodeMS" w:cs="ArialUnicodeMS"/>
          <w:sz w:val="84"/>
          <w:szCs w:val="84"/>
        </w:rPr>
      </w:pPr>
    </w:p>
    <w:p>
      <w:pPr>
        <w:spacing w:line="360" w:lineRule="auto"/>
        <w:rPr>
          <w:rFonts w:ascii="ArialUnicodeMS" w:eastAsia="ArialUnicodeMS" w:cs="ArialUnicodeMS"/>
          <w:sz w:val="84"/>
          <w:szCs w:val="84"/>
        </w:rPr>
      </w:pPr>
    </w:p>
    <w:p>
      <w:pPr>
        <w:spacing w:line="360" w:lineRule="auto"/>
        <w:rPr>
          <w:rFonts w:ascii="ArialUnicodeMS" w:eastAsia="ArialUnicodeMS" w:cs="ArialUnicodeMS"/>
          <w:sz w:val="84"/>
          <w:szCs w:val="84"/>
        </w:rPr>
      </w:pPr>
    </w:p>
    <w:p>
      <w:pPr>
        <w:spacing w:line="360" w:lineRule="auto"/>
        <w:rPr>
          <w:rFonts w:ascii="ArialUnicodeMS" w:eastAsia="ArialUnicodeMS" w:cs="ArialUnicodeMS"/>
          <w:sz w:val="84"/>
          <w:szCs w:val="84"/>
        </w:rPr>
      </w:pPr>
    </w:p>
    <w:p>
      <w:pPr>
        <w:spacing w:line="360" w:lineRule="auto"/>
        <w:rPr>
          <w:rFonts w:ascii="ArialUnicodeMS" w:eastAsia="ArialUnicodeMS" w:cs="ArialUnicodeMS"/>
          <w:sz w:val="84"/>
          <w:szCs w:val="84"/>
        </w:rPr>
      </w:pPr>
    </w:p>
    <w:p>
      <w:pPr>
        <w:spacing w:line="360" w:lineRule="auto"/>
        <w:rPr>
          <w:rFonts w:ascii="ArialUnicodeMS" w:eastAsia="ArialUnicodeMS" w:cs="ArialUnicodeMS"/>
          <w:sz w:val="84"/>
          <w:szCs w:val="84"/>
        </w:rPr>
      </w:pPr>
    </w:p>
    <w:p>
      <w:pPr>
        <w:spacing w:line="360" w:lineRule="auto"/>
        <w:rPr>
          <w:rFonts w:ascii="ArialUnicodeMS" w:eastAsia="ArialUnicodeMS" w:cs="ArialUnicodeMS"/>
          <w:sz w:val="84"/>
          <w:szCs w:val="84"/>
        </w:rPr>
      </w:pPr>
    </w:p>
    <w:p>
      <w:pPr>
        <w:spacing w:line="360" w:lineRule="auto"/>
        <w:jc w:val="center"/>
        <w:rPr>
          <w:rFonts w:ascii="黑体" w:eastAsia="黑体" w:cs="黑体"/>
          <w:sz w:val="44"/>
          <w:szCs w:val="44"/>
        </w:rPr>
      </w:pPr>
    </w:p>
    <w:p>
      <w:pPr>
        <w:widowControl/>
        <w:spacing w:line="360" w:lineRule="auto"/>
        <w:jc w:val="left"/>
        <w:rPr>
          <w:rFonts w:ascii="方正小标宋简体" w:eastAsia="方正小标宋简体"/>
          <w:b/>
          <w:sz w:val="44"/>
          <w:szCs w:val="44"/>
        </w:rPr>
      </w:pPr>
      <w:r>
        <w:rPr>
          <w:rFonts w:ascii="方正小标宋简体" w:eastAsia="方正小标宋简体"/>
          <w:b/>
          <w:sz w:val="44"/>
          <w:szCs w:val="44"/>
        </w:rPr>
        <w:br w:type="page"/>
      </w:r>
    </w:p>
    <w:p>
      <w:pPr>
        <w:spacing w:line="360" w:lineRule="auto"/>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spacing w:line="360" w:lineRule="auto"/>
        <w:ind w:firstLine="645"/>
        <w:rPr>
          <w:rFonts w:ascii="仿宋_GB2312" w:eastAsia="仿宋_GB2312"/>
          <w:b/>
          <w:sz w:val="32"/>
          <w:szCs w:val="32"/>
        </w:rPr>
      </w:pPr>
    </w:p>
    <w:p>
      <w:pPr>
        <w:spacing w:line="360" w:lineRule="auto"/>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rPr>
        <w:t>柳州市社会福利院</w:t>
      </w:r>
      <w:r>
        <w:rPr>
          <w:rFonts w:hint="eastAsia" w:ascii="仿宋_GB2312" w:eastAsia="仿宋_GB2312"/>
          <w:b/>
          <w:sz w:val="32"/>
          <w:szCs w:val="32"/>
        </w:rPr>
        <w:t>概况</w:t>
      </w:r>
    </w:p>
    <w:p>
      <w:pPr>
        <w:spacing w:line="360" w:lineRule="auto"/>
        <w:ind w:firstLine="645"/>
        <w:rPr>
          <w:rFonts w:ascii="仿宋_GB2312" w:eastAsia="仿宋_GB2312"/>
          <w:sz w:val="32"/>
          <w:szCs w:val="32"/>
        </w:rPr>
      </w:pPr>
      <w:r>
        <w:rPr>
          <w:rFonts w:hint="eastAsia" w:ascii="仿宋_GB2312" w:eastAsia="仿宋_GB2312"/>
          <w:sz w:val="32"/>
          <w:szCs w:val="32"/>
        </w:rPr>
        <w:t>一、主要职能</w:t>
      </w:r>
    </w:p>
    <w:p>
      <w:pPr>
        <w:spacing w:line="360" w:lineRule="auto"/>
        <w:ind w:firstLine="645"/>
        <w:rPr>
          <w:rFonts w:ascii="仿宋_GB2312" w:eastAsia="仿宋_GB2312"/>
          <w:sz w:val="32"/>
          <w:szCs w:val="32"/>
        </w:rPr>
      </w:pPr>
      <w:r>
        <w:rPr>
          <w:rFonts w:hint="eastAsia" w:ascii="仿宋_GB2312" w:eastAsia="仿宋_GB2312"/>
          <w:sz w:val="32"/>
          <w:szCs w:val="32"/>
        </w:rPr>
        <w:t>二、单位机构设置情况</w:t>
      </w:r>
    </w:p>
    <w:p>
      <w:pPr>
        <w:spacing w:line="360" w:lineRule="auto"/>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柳州市社会福利院</w:t>
      </w:r>
      <w:r>
        <w:rPr>
          <w:rFonts w:hint="eastAsia" w:ascii="仿宋_GB2312" w:eastAsia="仿宋_GB2312"/>
          <w:b/>
          <w:sz w:val="32"/>
          <w:szCs w:val="32"/>
        </w:rPr>
        <w:t>2021年</w:t>
      </w:r>
      <w:r>
        <w:rPr>
          <w:rFonts w:hint="eastAsia" w:ascii="仿宋_GB2312" w:eastAsia="仿宋_GB2312"/>
          <w:b/>
          <w:sz w:val="32"/>
          <w:szCs w:val="32"/>
          <w:lang w:eastAsia="zh-CN"/>
        </w:rPr>
        <w:t>单位决算</w:t>
      </w:r>
      <w:r>
        <w:rPr>
          <w:rFonts w:hint="eastAsia" w:ascii="仿宋_GB2312" w:eastAsia="仿宋_GB2312"/>
          <w:b/>
          <w:sz w:val="32"/>
          <w:szCs w:val="32"/>
        </w:rPr>
        <w:t>报表</w:t>
      </w:r>
    </w:p>
    <w:p>
      <w:pPr>
        <w:spacing w:line="360" w:lineRule="auto"/>
        <w:ind w:left="645"/>
        <w:rPr>
          <w:rFonts w:ascii="仿宋_GB2312" w:eastAsia="仿宋_GB2312"/>
          <w:sz w:val="32"/>
          <w:szCs w:val="32"/>
        </w:rPr>
      </w:pPr>
      <w:r>
        <w:rPr>
          <w:rFonts w:hint="eastAsia" w:ascii="仿宋_GB2312" w:eastAsia="仿宋_GB2312"/>
          <w:sz w:val="32"/>
          <w:szCs w:val="32"/>
        </w:rPr>
        <w:t>表一：收入支出决算总表</w:t>
      </w:r>
    </w:p>
    <w:p>
      <w:pPr>
        <w:spacing w:line="360" w:lineRule="auto"/>
        <w:ind w:left="645"/>
        <w:rPr>
          <w:rFonts w:ascii="仿宋_GB2312" w:eastAsia="仿宋_GB2312"/>
          <w:sz w:val="32"/>
          <w:szCs w:val="32"/>
        </w:rPr>
      </w:pPr>
      <w:r>
        <w:rPr>
          <w:rFonts w:hint="eastAsia" w:ascii="仿宋_GB2312" w:eastAsia="仿宋_GB2312"/>
          <w:sz w:val="32"/>
          <w:szCs w:val="32"/>
        </w:rPr>
        <w:t>表二：收入决算表</w:t>
      </w:r>
    </w:p>
    <w:p>
      <w:pPr>
        <w:spacing w:line="360" w:lineRule="auto"/>
        <w:ind w:left="645"/>
        <w:rPr>
          <w:rFonts w:ascii="仿宋_GB2312" w:eastAsia="仿宋_GB2312"/>
          <w:sz w:val="32"/>
          <w:szCs w:val="32"/>
        </w:rPr>
      </w:pPr>
      <w:r>
        <w:rPr>
          <w:rFonts w:hint="eastAsia" w:ascii="仿宋_GB2312" w:eastAsia="仿宋_GB2312"/>
          <w:sz w:val="32"/>
          <w:szCs w:val="32"/>
        </w:rPr>
        <w:t>表三：支出决算表</w:t>
      </w:r>
    </w:p>
    <w:p>
      <w:pPr>
        <w:spacing w:line="360" w:lineRule="auto"/>
        <w:ind w:left="645"/>
        <w:rPr>
          <w:rFonts w:ascii="仿宋_GB2312" w:eastAsia="仿宋_GB2312"/>
          <w:sz w:val="32"/>
          <w:szCs w:val="32"/>
        </w:rPr>
      </w:pPr>
      <w:r>
        <w:rPr>
          <w:rFonts w:hint="eastAsia" w:ascii="仿宋_GB2312" w:eastAsia="仿宋_GB2312"/>
          <w:sz w:val="32"/>
          <w:szCs w:val="32"/>
        </w:rPr>
        <w:t>表四：财政拨款收入支出决算总表</w:t>
      </w:r>
    </w:p>
    <w:p>
      <w:pPr>
        <w:spacing w:line="360" w:lineRule="auto"/>
        <w:ind w:left="645"/>
        <w:rPr>
          <w:rFonts w:ascii="仿宋_GB2312" w:eastAsia="仿宋_GB2312"/>
          <w:sz w:val="32"/>
          <w:szCs w:val="32"/>
        </w:rPr>
      </w:pPr>
      <w:r>
        <w:rPr>
          <w:rFonts w:hint="eastAsia" w:ascii="仿宋_GB2312" w:eastAsia="仿宋_GB2312"/>
          <w:sz w:val="32"/>
          <w:szCs w:val="32"/>
        </w:rPr>
        <w:t>表五：一般公共预算财政拨款支出决算表</w:t>
      </w:r>
    </w:p>
    <w:p>
      <w:pPr>
        <w:spacing w:line="360" w:lineRule="auto"/>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spacing w:line="360" w:lineRule="auto"/>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spacing w:line="360" w:lineRule="auto"/>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spacing w:line="360" w:lineRule="auto"/>
        <w:ind w:firstLine="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spacing w:line="360" w:lineRule="auto"/>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柳州市社会福利院</w:t>
      </w:r>
      <w:r>
        <w:rPr>
          <w:rFonts w:hint="eastAsia" w:ascii="仿宋_GB2312" w:eastAsia="仿宋_GB2312"/>
          <w:b/>
          <w:sz w:val="32"/>
          <w:szCs w:val="32"/>
        </w:rPr>
        <w:t>2021年度</w:t>
      </w:r>
      <w:r>
        <w:rPr>
          <w:rFonts w:hint="eastAsia" w:ascii="仿宋_GB2312" w:eastAsia="仿宋_GB2312"/>
          <w:b/>
          <w:sz w:val="32"/>
          <w:szCs w:val="32"/>
          <w:lang w:eastAsia="zh-CN"/>
        </w:rPr>
        <w:t>单位决算</w:t>
      </w:r>
      <w:r>
        <w:rPr>
          <w:rFonts w:hint="eastAsia" w:ascii="仿宋_GB2312" w:eastAsia="仿宋_GB2312"/>
          <w:b/>
          <w:sz w:val="32"/>
          <w:szCs w:val="32"/>
        </w:rPr>
        <w:t>情况说明</w:t>
      </w:r>
    </w:p>
    <w:p>
      <w:pPr>
        <w:spacing w:line="360" w:lineRule="auto"/>
        <w:ind w:firstLine="640"/>
        <w:jc w:val="left"/>
        <w:rPr>
          <w:rFonts w:ascii="仿宋_GB2312" w:eastAsia="仿宋_GB2312" w:cs="仿宋_GB2312"/>
          <w:sz w:val="32"/>
          <w:szCs w:val="32"/>
        </w:rPr>
      </w:pPr>
      <w:r>
        <w:rPr>
          <w:rFonts w:hint="eastAsia" w:ascii="仿宋_GB2312" w:eastAsia="仿宋_GB2312" w:cs="仿宋_GB2312"/>
          <w:sz w:val="32"/>
          <w:szCs w:val="32"/>
        </w:rPr>
        <w:t>一、</w:t>
      </w:r>
      <w:r>
        <w:rPr>
          <w:rFonts w:hint="eastAsia" w:ascii="仿宋_GB2312" w:eastAsia="仿宋_GB2312"/>
          <w:sz w:val="32"/>
          <w:szCs w:val="32"/>
        </w:rPr>
        <w:t>2021</w:t>
      </w:r>
      <w:r>
        <w:rPr>
          <w:rFonts w:hint="eastAsia" w:ascii="仿宋_GB2312" w:eastAsia="仿宋_GB2312" w:cs="仿宋_GB2312"/>
          <w:sz w:val="32"/>
          <w:szCs w:val="32"/>
        </w:rPr>
        <w:t>年度收入支出决算总体情况。</w:t>
      </w:r>
    </w:p>
    <w:p>
      <w:pPr>
        <w:spacing w:line="360" w:lineRule="auto"/>
        <w:ind w:firstLine="640"/>
        <w:jc w:val="left"/>
        <w:rPr>
          <w:rFonts w:ascii="仿宋_GB2312" w:eastAsia="仿宋_GB2312" w:cs="仿宋_GB2312"/>
          <w:sz w:val="32"/>
          <w:szCs w:val="32"/>
        </w:rPr>
      </w:pPr>
      <w:r>
        <w:rPr>
          <w:rFonts w:hint="eastAsia" w:ascii="仿宋_GB2312" w:eastAsia="仿宋_GB2312" w:cs="仿宋_GB2312"/>
          <w:sz w:val="32"/>
          <w:szCs w:val="32"/>
        </w:rPr>
        <w:t>二、</w:t>
      </w:r>
      <w:r>
        <w:rPr>
          <w:rFonts w:hint="eastAsia" w:ascii="仿宋_GB2312" w:eastAsia="仿宋_GB2312"/>
          <w:sz w:val="32"/>
          <w:szCs w:val="32"/>
        </w:rPr>
        <w:t>2021</w:t>
      </w:r>
      <w:r>
        <w:rPr>
          <w:rFonts w:hint="eastAsia" w:ascii="仿宋_GB2312" w:eastAsia="仿宋_GB2312" w:cs="仿宋_GB2312"/>
          <w:sz w:val="32"/>
          <w:szCs w:val="32"/>
        </w:rPr>
        <w:t>年度</w:t>
      </w:r>
      <w:r>
        <w:rPr>
          <w:rFonts w:hint="eastAsia" w:ascii="仿宋_GB2312" w:eastAsia="仿宋_GB2312"/>
          <w:sz w:val="32"/>
          <w:szCs w:val="32"/>
        </w:rPr>
        <w:t>一般</w:t>
      </w:r>
      <w:r>
        <w:rPr>
          <w:rFonts w:hint="eastAsia" w:ascii="仿宋_GB2312" w:eastAsia="仿宋_GB2312" w:cs="仿宋_GB2312"/>
          <w:sz w:val="32"/>
          <w:szCs w:val="32"/>
        </w:rPr>
        <w:t>公共预算财政拨款支出决算情况。</w:t>
      </w:r>
    </w:p>
    <w:p>
      <w:pPr>
        <w:spacing w:line="360" w:lineRule="auto"/>
        <w:ind w:firstLine="640"/>
        <w:jc w:val="left"/>
        <w:rPr>
          <w:rFonts w:ascii="仿宋_GB2312" w:eastAsia="仿宋_GB2312" w:cs="仿宋_GB2312"/>
          <w:sz w:val="32"/>
          <w:szCs w:val="32"/>
        </w:rPr>
      </w:pPr>
      <w:r>
        <w:rPr>
          <w:rFonts w:hint="eastAsia" w:ascii="仿宋_GB2312" w:eastAsia="仿宋_GB2312" w:cs="仿宋_GB2312"/>
          <w:sz w:val="32"/>
          <w:szCs w:val="32"/>
        </w:rPr>
        <w:t>三、2021年度一般公共预算财政拨款基本支出决算情况说明。</w:t>
      </w:r>
    </w:p>
    <w:p>
      <w:pPr>
        <w:spacing w:line="360" w:lineRule="auto"/>
        <w:ind w:firstLine="640"/>
        <w:jc w:val="left"/>
        <w:rPr>
          <w:rFonts w:ascii="仿宋_GB2312" w:eastAsia="仿宋_GB2312" w:cs="仿宋_GB2312"/>
          <w:sz w:val="32"/>
          <w:szCs w:val="32"/>
        </w:rPr>
      </w:pPr>
      <w:r>
        <w:rPr>
          <w:rFonts w:hint="eastAsia" w:ascii="仿宋_GB2312" w:eastAsia="仿宋_GB2312" w:cs="仿宋_GB2312"/>
          <w:sz w:val="32"/>
          <w:szCs w:val="32"/>
        </w:rPr>
        <w:t>四、</w:t>
      </w:r>
      <w:r>
        <w:rPr>
          <w:rFonts w:hint="eastAsia" w:ascii="仿宋_GB2312" w:eastAsia="仿宋_GB2312"/>
          <w:sz w:val="32"/>
          <w:szCs w:val="32"/>
        </w:rPr>
        <w:t>2021</w:t>
      </w:r>
      <w:r>
        <w:rPr>
          <w:rFonts w:hint="eastAsia" w:ascii="仿宋_GB2312" w:eastAsia="仿宋_GB2312" w:cs="仿宋_GB2312"/>
          <w:sz w:val="32"/>
          <w:szCs w:val="32"/>
        </w:rPr>
        <w:t>年度政府性基金支出决算情况。</w:t>
      </w:r>
    </w:p>
    <w:p>
      <w:pPr>
        <w:spacing w:line="360" w:lineRule="auto"/>
        <w:ind w:firstLine="640"/>
        <w:jc w:val="left"/>
        <w:rPr>
          <w:rFonts w:ascii="仿宋_GB2312" w:eastAsia="仿宋_GB2312" w:cs="仿宋_GB2312"/>
          <w:sz w:val="32"/>
          <w:szCs w:val="32"/>
        </w:rPr>
      </w:pPr>
      <w:r>
        <w:rPr>
          <w:rFonts w:hint="eastAsia" w:ascii="仿宋_GB2312" w:eastAsia="仿宋_GB2312" w:cs="仿宋_GB2312"/>
          <w:sz w:val="32"/>
          <w:szCs w:val="32"/>
        </w:rPr>
        <w:t>五、2021年度国有资本经营预算支出决算情况</w:t>
      </w:r>
    </w:p>
    <w:p>
      <w:pPr>
        <w:spacing w:line="360" w:lineRule="auto"/>
        <w:ind w:firstLine="640"/>
        <w:jc w:val="left"/>
        <w:rPr>
          <w:rFonts w:ascii="仿宋_GB2312" w:eastAsia="仿宋_GB2312" w:cs="仿宋_GB2312"/>
          <w:sz w:val="32"/>
          <w:szCs w:val="32"/>
        </w:rPr>
      </w:pPr>
      <w:r>
        <w:rPr>
          <w:rFonts w:hint="eastAsia" w:ascii="仿宋_GB2312" w:eastAsia="仿宋_GB2312" w:cs="仿宋_GB2312"/>
          <w:sz w:val="32"/>
          <w:szCs w:val="32"/>
        </w:rPr>
        <w:t>六、</w:t>
      </w:r>
      <w:r>
        <w:rPr>
          <w:rFonts w:hint="eastAsia" w:ascii="仿宋_GB2312" w:eastAsia="仿宋_GB2312"/>
          <w:sz w:val="32"/>
          <w:szCs w:val="32"/>
        </w:rPr>
        <w:t>一般</w:t>
      </w:r>
      <w:r>
        <w:rPr>
          <w:rFonts w:hint="eastAsia" w:ascii="仿宋_GB2312" w:eastAsia="仿宋_GB2312" w:cs="仿宋_GB2312"/>
          <w:sz w:val="32"/>
          <w:szCs w:val="32"/>
        </w:rPr>
        <w:t>公共预算财政拨款安排的“三公”经费支出决算情况说明。</w:t>
      </w:r>
    </w:p>
    <w:p>
      <w:pPr>
        <w:spacing w:line="360" w:lineRule="auto"/>
        <w:ind w:firstLine="640"/>
        <w:jc w:val="left"/>
        <w:rPr>
          <w:rFonts w:ascii="仿宋_GB2312" w:eastAsia="仿宋_GB2312" w:cs="仿宋_GB2312"/>
          <w:sz w:val="32"/>
          <w:szCs w:val="32"/>
        </w:rPr>
      </w:pPr>
      <w:r>
        <w:rPr>
          <w:rFonts w:hint="eastAsia" w:ascii="仿宋_GB2312" w:eastAsia="仿宋_GB2312" w:cs="仿宋_GB2312"/>
          <w:sz w:val="32"/>
          <w:szCs w:val="32"/>
        </w:rPr>
        <w:t>七、其他重要事项情况说明。</w:t>
      </w:r>
    </w:p>
    <w:p>
      <w:pPr>
        <w:spacing w:line="360" w:lineRule="auto"/>
        <w:ind w:firstLine="645"/>
        <w:rPr>
          <w:rFonts w:ascii="仿宋_GB2312" w:eastAsia="仿宋_GB2312"/>
          <w:b/>
          <w:sz w:val="32"/>
          <w:szCs w:val="32"/>
        </w:rPr>
      </w:pPr>
      <w:r>
        <w:rPr>
          <w:rFonts w:hint="eastAsia" w:ascii="仿宋_GB2312" w:eastAsia="仿宋_GB2312"/>
          <w:b/>
          <w:sz w:val="32"/>
          <w:szCs w:val="32"/>
        </w:rPr>
        <w:t>第四部分：名词解释</w:t>
      </w:r>
    </w:p>
    <w:p>
      <w:pPr>
        <w:spacing w:line="360" w:lineRule="auto"/>
        <w:ind w:firstLine="646"/>
        <w:jc w:val="center"/>
        <w:rPr>
          <w:rFonts w:ascii="仿宋_GB2312" w:eastAsia="仿宋_GB2312"/>
          <w:b/>
          <w:sz w:val="32"/>
          <w:szCs w:val="32"/>
        </w:rPr>
      </w:pPr>
      <w:r>
        <w:rPr>
          <w:rFonts w:hint="eastAsia" w:ascii="仿宋_GB2312" w:eastAsia="仿宋_GB2312" w:cs="仿宋_GB2312"/>
          <w:bCs/>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rPr>
        <w:t>柳州市社会福利院</w:t>
      </w:r>
      <w:r>
        <w:rPr>
          <w:rFonts w:hint="eastAsia" w:ascii="仿宋_GB2312" w:eastAsia="仿宋_GB2312"/>
          <w:b/>
          <w:sz w:val="32"/>
          <w:szCs w:val="32"/>
        </w:rPr>
        <w:t>概况</w:t>
      </w:r>
    </w:p>
    <w:p>
      <w:pPr>
        <w:spacing w:line="360" w:lineRule="auto"/>
        <w:ind w:firstLine="646"/>
        <w:rPr>
          <w:rFonts w:ascii="仿宋_GB2312" w:eastAsia="仿宋_GB2312"/>
          <w:sz w:val="32"/>
          <w:szCs w:val="32"/>
        </w:rPr>
      </w:pPr>
      <w:r>
        <w:rPr>
          <w:rFonts w:hint="eastAsia" w:ascii="仿宋_GB2312" w:eastAsia="仿宋_GB2312"/>
          <w:sz w:val="32"/>
          <w:szCs w:val="32"/>
        </w:rPr>
        <w:t>一、主要职能</w:t>
      </w:r>
    </w:p>
    <w:p>
      <w:pPr>
        <w:spacing w:line="360" w:lineRule="auto"/>
        <w:ind w:firstLine="640"/>
        <w:rPr>
          <w:rFonts w:ascii="仿宋_GB2312" w:hAnsi="仿宋" w:eastAsia="仿宋_GB2312"/>
          <w:sz w:val="32"/>
          <w:szCs w:val="32"/>
        </w:rPr>
      </w:pPr>
      <w:r>
        <w:rPr>
          <w:rFonts w:hint="eastAsia" w:ascii="仿宋_GB2312" w:hAnsi="仿宋" w:eastAsia="仿宋_GB2312"/>
          <w:sz w:val="32"/>
          <w:szCs w:val="32"/>
        </w:rPr>
        <w:t>柳州市社会福利院的主要职责是：</w:t>
      </w:r>
    </w:p>
    <w:p>
      <w:pPr>
        <w:spacing w:line="360" w:lineRule="auto"/>
        <w:ind w:firstLine="640"/>
        <w:rPr>
          <w:rFonts w:ascii="仿宋_GB2312" w:hAnsi="仿宋" w:eastAsia="仿宋_GB2312"/>
          <w:sz w:val="32"/>
          <w:szCs w:val="32"/>
        </w:rPr>
      </w:pPr>
      <w:r>
        <w:rPr>
          <w:rFonts w:hint="eastAsia" w:ascii="仿宋_GB2312" w:hAnsi="仿宋" w:eastAsia="仿宋_GB2312"/>
          <w:sz w:val="32"/>
          <w:szCs w:val="32"/>
        </w:rPr>
        <w:t>（1）负责为持有本市户籍的城区老年人、年满18周岁的残疾人，且无劳动能力、无生活来源、无法定赡养抚养扶养义务人，或者其法定义务人无履行义务能力的特困人员提供集中供养托底保障服务。</w:t>
      </w:r>
    </w:p>
    <w:p>
      <w:pPr>
        <w:spacing w:line="360" w:lineRule="auto"/>
        <w:ind w:firstLine="640"/>
        <w:rPr>
          <w:rFonts w:ascii="仿宋_GB2312" w:hAnsi="仿宋" w:eastAsia="仿宋_GB2312"/>
          <w:sz w:val="32"/>
          <w:szCs w:val="32"/>
        </w:rPr>
      </w:pPr>
      <w:r>
        <w:rPr>
          <w:rFonts w:hint="eastAsia" w:ascii="仿宋_GB2312" w:hAnsi="仿宋" w:eastAsia="仿宋_GB2312"/>
          <w:sz w:val="32"/>
          <w:szCs w:val="32"/>
        </w:rPr>
        <w:t>（2）负责为院内供养人员提供生活照护、医疗康复、心理慰藉、娱乐教育、临终关怀等服务。</w:t>
      </w:r>
    </w:p>
    <w:p>
      <w:pPr>
        <w:spacing w:line="360" w:lineRule="auto"/>
        <w:ind w:firstLine="640"/>
        <w:rPr>
          <w:rFonts w:ascii="仿宋_GB2312" w:hAnsi="仿宋" w:eastAsia="仿宋_GB2312"/>
          <w:sz w:val="32"/>
          <w:szCs w:val="32"/>
        </w:rPr>
      </w:pPr>
      <w:r>
        <w:rPr>
          <w:rFonts w:hint="eastAsia" w:ascii="仿宋_GB2312" w:hAnsi="仿宋" w:eastAsia="仿宋_GB2312"/>
          <w:sz w:val="32"/>
          <w:szCs w:val="32"/>
        </w:rPr>
        <w:t>（3）负责接收安置年满18岁无劳动能力的孤儿（不包括精神病、传染病患者）。</w:t>
      </w:r>
    </w:p>
    <w:p>
      <w:pPr>
        <w:spacing w:line="360" w:lineRule="auto"/>
        <w:ind w:firstLine="640"/>
        <w:rPr>
          <w:rFonts w:ascii="仿宋_GB2312" w:hAnsi="仿宋" w:eastAsia="仿宋_GB2312"/>
          <w:sz w:val="32"/>
          <w:szCs w:val="32"/>
        </w:rPr>
      </w:pPr>
      <w:r>
        <w:rPr>
          <w:rFonts w:hint="eastAsia" w:ascii="仿宋_GB2312" w:hAnsi="仿宋" w:eastAsia="仿宋_GB2312"/>
          <w:sz w:val="32"/>
          <w:szCs w:val="32"/>
        </w:rPr>
        <w:t>（4）负责为年满18岁的流浪乞讨人员（不包括精神病、传染病患者）提供临时托养服务。</w:t>
      </w:r>
    </w:p>
    <w:p>
      <w:pPr>
        <w:spacing w:line="360" w:lineRule="auto"/>
        <w:ind w:firstLine="640"/>
        <w:rPr>
          <w:rFonts w:ascii="仿宋_GB2312" w:hAnsi="仿宋" w:eastAsia="仿宋_GB2312"/>
          <w:sz w:val="32"/>
          <w:szCs w:val="32"/>
        </w:rPr>
      </w:pPr>
      <w:r>
        <w:rPr>
          <w:rFonts w:hint="eastAsia" w:ascii="仿宋_GB2312" w:hAnsi="仿宋" w:eastAsia="仿宋_GB2312"/>
          <w:sz w:val="32"/>
          <w:szCs w:val="32"/>
        </w:rPr>
        <w:t>（5）完成主管部门交办的其他任务。</w:t>
      </w:r>
    </w:p>
    <w:p>
      <w:pPr>
        <w:spacing w:line="360" w:lineRule="auto"/>
        <w:ind w:firstLine="645"/>
        <w:rPr>
          <w:rFonts w:ascii="仿宋_GB2312" w:eastAsia="仿宋_GB2312"/>
          <w:sz w:val="32"/>
          <w:szCs w:val="32"/>
        </w:rPr>
      </w:pPr>
      <w:r>
        <w:rPr>
          <w:rFonts w:hint="eastAsia" w:ascii="仿宋_GB2312" w:eastAsia="仿宋_GB2312"/>
          <w:sz w:val="32"/>
          <w:szCs w:val="32"/>
        </w:rPr>
        <w:t>二、单位机构设置情况</w:t>
      </w:r>
    </w:p>
    <w:p>
      <w:pPr>
        <w:spacing w:line="360" w:lineRule="auto"/>
        <w:ind w:firstLine="646"/>
        <w:rPr>
          <w:rFonts w:ascii="仿宋_GB2312" w:hAnsi="仿宋" w:eastAsia="仿宋_GB2312"/>
          <w:sz w:val="32"/>
          <w:szCs w:val="32"/>
        </w:rPr>
      </w:pPr>
      <w:r>
        <w:rPr>
          <w:rFonts w:hint="eastAsia" w:ascii="仿宋_GB2312" w:hAnsi="仿宋" w:eastAsia="仿宋_GB2312"/>
          <w:sz w:val="32"/>
          <w:szCs w:val="32"/>
        </w:rPr>
        <w:t>柳州市社会福利院隶属市民政局,是市财政全额拨款副处级公益一类事业单位。内设机构8个，分别是办公室、财务科、业务科、护理科、医疗康复科、后勤保障科、质量管理科、社工科（教育活动科）。2021年底，我院共有在编人员55人，聘用人员57人。有5名在编职工退休，其中，事业技术工人4人，管理人员1人。通过柳州市事业单位公开招聘，1名护理员和1名会计进入我单位，安置退役士兵1名。</w:t>
      </w:r>
    </w:p>
    <w:p>
      <w:pPr>
        <w:spacing w:line="360" w:lineRule="auto"/>
        <w:ind w:firstLine="646"/>
        <w:rPr>
          <w:rFonts w:ascii="仿宋_GB2312" w:hAnsi="仿宋" w:eastAsia="仿宋_GB2312"/>
          <w:sz w:val="32"/>
          <w:szCs w:val="32"/>
        </w:rPr>
      </w:pPr>
    </w:p>
    <w:p>
      <w:pPr>
        <w:widowControl/>
        <w:spacing w:line="360" w:lineRule="auto"/>
        <w:jc w:val="cente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柳州市社会福利院</w:t>
      </w:r>
      <w:r>
        <w:rPr>
          <w:rFonts w:hint="eastAsia" w:ascii="仿宋_GB2312" w:eastAsia="仿宋_GB2312"/>
          <w:b/>
          <w:sz w:val="32"/>
          <w:szCs w:val="32"/>
        </w:rPr>
        <w:t>2021年</w:t>
      </w:r>
      <w:r>
        <w:rPr>
          <w:rFonts w:hint="eastAsia" w:ascii="仿宋_GB2312" w:eastAsia="仿宋_GB2312"/>
          <w:b/>
          <w:sz w:val="32"/>
          <w:szCs w:val="32"/>
          <w:lang w:eastAsia="zh-CN"/>
        </w:rPr>
        <w:t>单位决算</w:t>
      </w:r>
      <w:r>
        <w:rPr>
          <w:rFonts w:hint="eastAsia" w:ascii="仿宋_GB2312" w:eastAsia="仿宋_GB2312"/>
          <w:b/>
          <w:sz w:val="32"/>
          <w:szCs w:val="32"/>
        </w:rPr>
        <w:t>报表</w:t>
      </w:r>
    </w:p>
    <w:p>
      <w:pPr>
        <w:spacing w:line="360" w:lineRule="auto"/>
        <w:ind w:firstLine="640"/>
        <w:rPr>
          <w:rFonts w:ascii="黑体" w:hAnsi="黑体" w:eastAsia="黑体"/>
          <w:sz w:val="32"/>
          <w:szCs w:val="32"/>
        </w:rPr>
      </w:pPr>
      <w:r>
        <w:rPr>
          <w:rFonts w:hint="eastAsia" w:ascii="黑体" w:hAnsi="黑体" w:eastAsia="黑体"/>
          <w:sz w:val="32"/>
          <w:szCs w:val="32"/>
        </w:rPr>
        <w:t>此部分另附表格，详见附件：</w:t>
      </w:r>
      <w:r>
        <w:rPr>
          <w:rFonts w:hint="eastAsia" w:ascii="仿宋_GB2312" w:hAnsi="黑体" w:eastAsia="仿宋_GB2312"/>
          <w:b/>
          <w:bCs/>
          <w:color w:val="000000"/>
          <w:sz w:val="32"/>
          <w:szCs w:val="32"/>
        </w:rPr>
        <w:t>柳州市社会福利院</w:t>
      </w:r>
      <w:r>
        <w:rPr>
          <w:rFonts w:hint="eastAsia" w:ascii="黑体" w:hAnsi="黑体" w:eastAsia="黑体"/>
          <w:sz w:val="32"/>
          <w:szCs w:val="32"/>
        </w:rPr>
        <w:t>2021年度</w:t>
      </w:r>
      <w:r>
        <w:rPr>
          <w:rFonts w:hint="eastAsia" w:ascii="黑体" w:hAnsi="黑体" w:eastAsia="黑体"/>
          <w:sz w:val="32"/>
          <w:szCs w:val="32"/>
          <w:lang w:eastAsia="zh-CN"/>
        </w:rPr>
        <w:t>单位决算</w:t>
      </w:r>
      <w:r>
        <w:rPr>
          <w:rFonts w:hint="eastAsia" w:ascii="黑体" w:hAnsi="黑体" w:eastAsia="黑体"/>
          <w:sz w:val="32"/>
          <w:szCs w:val="32"/>
        </w:rPr>
        <w:t>公开表</w:t>
      </w:r>
    </w:p>
    <w:p>
      <w:pPr>
        <w:spacing w:line="360" w:lineRule="auto"/>
        <w:ind w:firstLine="640"/>
        <w:rPr>
          <w:rFonts w:ascii="黑体" w:hAnsi="黑体" w:eastAsia="黑体"/>
          <w:sz w:val="32"/>
          <w:szCs w:val="32"/>
        </w:rPr>
      </w:pPr>
    </w:p>
    <w:p>
      <w:pPr>
        <w:widowControl/>
        <w:spacing w:line="360" w:lineRule="auto"/>
        <w:jc w:val="center"/>
        <w:rPr>
          <w:rFonts w:ascii="仿宋_GB2312" w:eastAsia="仿宋_GB2312"/>
          <w:b/>
          <w:sz w:val="32"/>
          <w:szCs w:val="32"/>
        </w:rPr>
      </w:pPr>
      <w:r>
        <w:rPr>
          <w:rFonts w:ascii="仿宋_GB2312" w:eastAsia="仿宋_GB2312"/>
          <w:b/>
          <w:sz w:val="32"/>
          <w:szCs w:val="32"/>
        </w:rPr>
        <w:br w:type="page"/>
      </w:r>
      <w:r>
        <w:rPr>
          <w:rFonts w:hint="eastAsia" w:ascii="仿宋_GB2312" w:eastAsia="仿宋_GB2312"/>
          <w:b/>
          <w:sz w:val="32"/>
          <w:szCs w:val="32"/>
        </w:rPr>
        <w:t>第三部分：</w:t>
      </w:r>
      <w:r>
        <w:rPr>
          <w:rFonts w:hint="eastAsia" w:ascii="仿宋_GB2312" w:hAnsi="黑体" w:eastAsia="仿宋_GB2312"/>
          <w:b/>
          <w:bCs/>
          <w:color w:val="000000"/>
          <w:sz w:val="32"/>
          <w:szCs w:val="32"/>
        </w:rPr>
        <w:t>柳州市社会福利院</w:t>
      </w:r>
      <w:r>
        <w:rPr>
          <w:rFonts w:hint="eastAsia" w:ascii="仿宋_GB2312" w:eastAsia="仿宋_GB2312"/>
          <w:b/>
          <w:sz w:val="32"/>
          <w:szCs w:val="32"/>
        </w:rPr>
        <w:t>2021年度</w:t>
      </w:r>
      <w:r>
        <w:rPr>
          <w:rFonts w:hint="eastAsia" w:ascii="仿宋_GB2312" w:eastAsia="仿宋_GB2312"/>
          <w:b/>
          <w:sz w:val="32"/>
          <w:szCs w:val="32"/>
          <w:lang w:eastAsia="zh-CN"/>
        </w:rPr>
        <w:t>单位决算</w:t>
      </w:r>
      <w:r>
        <w:rPr>
          <w:rFonts w:hint="eastAsia" w:ascii="仿宋_GB2312" w:eastAsia="仿宋_GB2312"/>
          <w:b/>
          <w:sz w:val="32"/>
          <w:szCs w:val="32"/>
        </w:rPr>
        <w:t>情况说明</w:t>
      </w:r>
    </w:p>
    <w:p>
      <w:pPr>
        <w:spacing w:line="360" w:lineRule="auto"/>
        <w:ind w:firstLine="640"/>
        <w:jc w:val="left"/>
        <w:rPr>
          <w:rFonts w:ascii="黑体" w:hAnsi="黑体" w:eastAsia="黑体" w:cs="仿宋_GB2312"/>
          <w:sz w:val="32"/>
          <w:szCs w:val="32"/>
        </w:rPr>
      </w:pPr>
      <w:r>
        <w:rPr>
          <w:rFonts w:hint="eastAsia" w:ascii="黑体" w:hAnsi="黑体" w:eastAsia="黑体" w:cs="仿宋_GB2312"/>
          <w:sz w:val="32"/>
          <w:szCs w:val="32"/>
        </w:rPr>
        <w:t>一、</w:t>
      </w:r>
      <w:r>
        <w:rPr>
          <w:rFonts w:hint="eastAsia" w:ascii="黑体" w:hAnsi="黑体" w:eastAsia="黑体"/>
          <w:sz w:val="32"/>
          <w:szCs w:val="32"/>
        </w:rPr>
        <w:t>2021</w:t>
      </w:r>
      <w:r>
        <w:rPr>
          <w:rFonts w:hint="eastAsia" w:ascii="黑体" w:hAnsi="黑体" w:eastAsia="黑体" w:cs="仿宋_GB2312"/>
          <w:sz w:val="32"/>
          <w:szCs w:val="32"/>
        </w:rPr>
        <w:t>年度收入支出决算总体情况</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 xml:space="preserve">（一）本单位2021年度总收入2541.68万元，其中本年收入2321.13万元, </w:t>
      </w:r>
      <w:r>
        <w:rPr>
          <w:rFonts w:hint="eastAsia" w:ascii="仿宋_GB2312" w:hAnsi="黑体" w:eastAsia="仿宋_GB2312" w:cs="仿宋_GB2312"/>
          <w:sz w:val="32"/>
          <w:szCs w:val="32"/>
        </w:rPr>
        <w:t>较2020年度决算数增加350.11万元，增长17.76%。</w:t>
      </w:r>
      <w:r>
        <w:rPr>
          <w:rFonts w:hint="eastAsia" w:ascii="仿宋_GB2312" w:eastAsia="仿宋_GB2312" w:cs="仿宋_GB2312"/>
          <w:sz w:val="32"/>
          <w:szCs w:val="32"/>
        </w:rPr>
        <w:t>收入具体情况如下：</w:t>
      </w:r>
    </w:p>
    <w:p>
      <w:pPr>
        <w:spacing w:line="360" w:lineRule="auto"/>
        <w:ind w:firstLine="627"/>
        <w:rPr>
          <w:rFonts w:ascii="仿宋_GB2312" w:hAnsi="黑体" w:eastAsia="仿宋_GB2312" w:cs="仿宋_GB2312"/>
          <w:sz w:val="32"/>
          <w:szCs w:val="32"/>
        </w:rPr>
      </w:pPr>
      <w:r>
        <w:rPr>
          <w:rFonts w:hint="eastAsia" w:ascii="仿宋_GB2312" w:eastAsia="仿宋_GB2312"/>
          <w:bCs/>
          <w:sz w:val="32"/>
          <w:szCs w:val="32"/>
        </w:rPr>
        <w:t>1</w:t>
      </w:r>
      <w:r>
        <w:rPr>
          <w:rFonts w:hint="eastAsia" w:ascii="仿宋_GB2312" w:eastAsia="仿宋_GB2312" w:cs="仿宋_GB2312"/>
          <w:sz w:val="32"/>
          <w:szCs w:val="32"/>
        </w:rPr>
        <w:t>.一般公共预算财政拨款收入</w:t>
      </w:r>
      <w:r>
        <w:rPr>
          <w:rFonts w:ascii="仿宋_GB2312" w:eastAsia="仿宋_GB2312" w:cs="仿宋_GB2312"/>
          <w:sz w:val="32"/>
          <w:szCs w:val="32"/>
        </w:rPr>
        <w:t>1532.22</w:t>
      </w:r>
      <w:r>
        <w:rPr>
          <w:rFonts w:hint="eastAsia" w:ascii="仿宋_GB2312" w:eastAsia="仿宋_GB2312" w:cs="仿宋_GB2312"/>
          <w:sz w:val="32"/>
          <w:szCs w:val="32"/>
        </w:rPr>
        <w:t>万元，为财政当年拨付的资金。</w:t>
      </w:r>
      <w:r>
        <w:rPr>
          <w:rFonts w:hint="eastAsia" w:ascii="仿宋_GB2312" w:hAnsi="黑体" w:eastAsia="仿宋_GB2312" w:cs="仿宋_GB2312"/>
          <w:sz w:val="32"/>
          <w:szCs w:val="32"/>
        </w:rPr>
        <w:t>较2020年度决算数增加89.63万元，增长6.21%，主要原因是：在编人员的工资及五险一金增加。</w:t>
      </w:r>
    </w:p>
    <w:p>
      <w:pPr>
        <w:spacing w:line="360" w:lineRule="auto"/>
        <w:ind w:firstLine="627"/>
        <w:rPr>
          <w:rFonts w:ascii="仿宋_GB2312" w:eastAsia="仿宋_GB2312" w:cs="仿宋_GB2312"/>
          <w:sz w:val="32"/>
          <w:szCs w:val="32"/>
        </w:rPr>
      </w:pPr>
      <w:r>
        <w:rPr>
          <w:rFonts w:hint="eastAsia" w:ascii="仿宋_GB2312" w:eastAsia="仿宋_GB2312" w:cs="仿宋_GB2312"/>
          <w:sz w:val="32"/>
          <w:szCs w:val="32"/>
        </w:rPr>
        <w:t>2.政府性基金预算财政拨款收入</w:t>
      </w:r>
      <w:r>
        <w:rPr>
          <w:rFonts w:ascii="仿宋_GB2312" w:hAnsi="黑体" w:eastAsia="仿宋_GB2312" w:cs="仿宋_GB2312"/>
          <w:sz w:val="32"/>
          <w:szCs w:val="32"/>
        </w:rPr>
        <w:t>291.08</w:t>
      </w:r>
      <w:r>
        <w:rPr>
          <w:rFonts w:hint="eastAsia" w:ascii="仿宋_GB2312" w:eastAsia="仿宋_GB2312" w:cs="仿宋_GB2312"/>
          <w:sz w:val="32"/>
          <w:szCs w:val="32"/>
        </w:rPr>
        <w:t>万元，为财政当年拨付的资金。</w:t>
      </w:r>
      <w:r>
        <w:rPr>
          <w:rFonts w:hint="eastAsia" w:ascii="仿宋_GB2312" w:hAnsi="黑体" w:eastAsia="仿宋_GB2312" w:cs="仿宋_GB2312"/>
          <w:sz w:val="32"/>
          <w:szCs w:val="32"/>
        </w:rPr>
        <w:t>较2020年度决算数增加129.05万元，增长79.65%，主要原因是：用于院内维修改造的福彩公益金增加。</w:t>
      </w:r>
    </w:p>
    <w:p>
      <w:pPr>
        <w:spacing w:line="360" w:lineRule="auto"/>
        <w:ind w:firstLine="627"/>
        <w:rPr>
          <w:rFonts w:ascii="仿宋_GB2312" w:eastAsia="仿宋_GB2312" w:cs="仿宋_GB2312"/>
          <w:sz w:val="32"/>
          <w:szCs w:val="32"/>
        </w:rPr>
      </w:pPr>
      <w:r>
        <w:rPr>
          <w:rFonts w:hint="eastAsia" w:ascii="仿宋_GB2312" w:eastAsia="仿宋_GB2312"/>
          <w:bCs/>
          <w:sz w:val="32"/>
          <w:szCs w:val="32"/>
        </w:rPr>
        <w:t>3</w:t>
      </w:r>
      <w:r>
        <w:rPr>
          <w:rFonts w:hint="eastAsia" w:ascii="仿宋_GB2312" w:eastAsia="仿宋_GB2312" w:cs="仿宋_GB2312"/>
          <w:sz w:val="32"/>
          <w:szCs w:val="32"/>
        </w:rPr>
        <w:t>.国有资本经营预算财政拨款收入0万元，为财政当年拨付的资金。</w:t>
      </w:r>
      <w:r>
        <w:rPr>
          <w:rFonts w:hint="eastAsia" w:ascii="仿宋_GB2312" w:hAnsi="黑体" w:eastAsia="仿宋_GB2312" w:cs="仿宋_GB2312"/>
          <w:sz w:val="32"/>
          <w:szCs w:val="32"/>
        </w:rPr>
        <w:t>与上年持平。</w:t>
      </w:r>
    </w:p>
    <w:p>
      <w:pPr>
        <w:spacing w:line="360" w:lineRule="auto"/>
        <w:ind w:firstLine="627"/>
        <w:rPr>
          <w:rFonts w:ascii="仿宋_GB2312" w:eastAsia="仿宋_GB2312" w:cs="仿宋_GB2312"/>
          <w:sz w:val="32"/>
          <w:szCs w:val="32"/>
        </w:rPr>
      </w:pPr>
      <w:r>
        <w:rPr>
          <w:rFonts w:hint="eastAsia" w:ascii="仿宋_GB2312" w:eastAsia="仿宋_GB2312" w:cs="仿宋_GB2312"/>
          <w:sz w:val="32"/>
          <w:szCs w:val="32"/>
        </w:rPr>
        <w:t>4.事业收入0万元，为事业单位开展业务活动取得的收入。</w:t>
      </w:r>
      <w:r>
        <w:rPr>
          <w:rFonts w:hint="eastAsia" w:ascii="仿宋_GB2312" w:hAnsi="黑体" w:eastAsia="仿宋_GB2312" w:cs="仿宋_GB2312"/>
          <w:sz w:val="32"/>
          <w:szCs w:val="32"/>
        </w:rPr>
        <w:t>与上年持平。</w:t>
      </w:r>
    </w:p>
    <w:p>
      <w:pPr>
        <w:spacing w:line="360" w:lineRule="auto"/>
        <w:ind w:firstLine="627"/>
        <w:rPr>
          <w:rFonts w:ascii="仿宋_GB2312" w:eastAsia="仿宋_GB2312" w:cs="仿宋_GB2312"/>
          <w:sz w:val="32"/>
          <w:szCs w:val="32"/>
        </w:rPr>
      </w:pPr>
      <w:r>
        <w:rPr>
          <w:rFonts w:hint="eastAsia" w:ascii="仿宋_GB2312" w:eastAsia="仿宋_GB2312"/>
          <w:bCs/>
          <w:sz w:val="32"/>
          <w:szCs w:val="32"/>
        </w:rPr>
        <w:t>5</w:t>
      </w:r>
      <w:r>
        <w:rPr>
          <w:rFonts w:hint="eastAsia" w:ascii="仿宋_GB2312" w:eastAsia="仿宋_GB2312" w:cs="仿宋_GB2312"/>
          <w:sz w:val="32"/>
          <w:szCs w:val="32"/>
        </w:rPr>
        <w:t>.经营收入0万元，为事业单位在业务活动之外开展非独立核算经营活动取得的收入。</w:t>
      </w:r>
      <w:r>
        <w:rPr>
          <w:rFonts w:hint="eastAsia" w:ascii="仿宋_GB2312" w:hAnsi="黑体" w:eastAsia="仿宋_GB2312" w:cs="仿宋_GB2312"/>
          <w:sz w:val="32"/>
          <w:szCs w:val="32"/>
        </w:rPr>
        <w:t>与上年持平。</w:t>
      </w:r>
    </w:p>
    <w:p>
      <w:pPr>
        <w:spacing w:line="360" w:lineRule="auto"/>
        <w:ind w:firstLine="627"/>
        <w:rPr>
          <w:rFonts w:ascii="仿宋_GB2312" w:eastAsia="仿宋_GB2312" w:cs="仿宋_GB2312"/>
          <w:sz w:val="32"/>
          <w:szCs w:val="32"/>
        </w:rPr>
      </w:pPr>
      <w:r>
        <w:rPr>
          <w:rFonts w:hint="eastAsia" w:ascii="仿宋_GB2312" w:eastAsia="仿宋_GB2312"/>
          <w:bCs/>
          <w:sz w:val="32"/>
          <w:szCs w:val="32"/>
        </w:rPr>
        <w:t>6</w:t>
      </w:r>
      <w:r>
        <w:rPr>
          <w:rFonts w:hint="eastAsia" w:ascii="仿宋_GB2312" w:eastAsia="仿宋_GB2312" w:cs="仿宋_GB2312"/>
          <w:sz w:val="32"/>
          <w:szCs w:val="32"/>
        </w:rPr>
        <w:t>.其他收入</w:t>
      </w:r>
      <w:r>
        <w:rPr>
          <w:rFonts w:ascii="仿宋_GB2312" w:eastAsia="仿宋_GB2312" w:cs="仿宋_GB2312"/>
          <w:sz w:val="32"/>
          <w:szCs w:val="32"/>
        </w:rPr>
        <w:t>497.83</w:t>
      </w:r>
      <w:r>
        <w:rPr>
          <w:rFonts w:hint="eastAsia" w:ascii="仿宋_GB2312" w:eastAsia="仿宋_GB2312" w:cs="仿宋_GB2312"/>
          <w:sz w:val="32"/>
          <w:szCs w:val="32"/>
        </w:rPr>
        <w:t>万元，为部门单位在</w:t>
      </w:r>
      <w:r>
        <w:rPr>
          <w:rFonts w:hint="eastAsia" w:ascii="仿宋_GB2312" w:eastAsia="仿宋_GB2312"/>
          <w:sz w:val="32"/>
          <w:szCs w:val="32"/>
        </w:rPr>
        <w:t>“</w:t>
      </w:r>
      <w:r>
        <w:rPr>
          <w:rFonts w:hint="eastAsia" w:ascii="仿宋_GB2312" w:eastAsia="仿宋_GB2312" w:cs="仿宋_GB2312"/>
          <w:sz w:val="32"/>
          <w:szCs w:val="32"/>
        </w:rPr>
        <w:t>财政拨款收入</w:t>
      </w:r>
      <w:r>
        <w:rPr>
          <w:rFonts w:hint="eastAsia" w:ascii="仿宋_GB2312" w:eastAsia="仿宋_GB2312"/>
          <w:sz w:val="32"/>
          <w:szCs w:val="32"/>
        </w:rPr>
        <w:t>”“</w:t>
      </w:r>
      <w:r>
        <w:rPr>
          <w:rFonts w:hint="eastAsia" w:ascii="仿宋_GB2312" w:eastAsia="仿宋_GB2312" w:cs="仿宋_GB2312"/>
          <w:sz w:val="32"/>
          <w:szCs w:val="32"/>
        </w:rPr>
        <w:t>事业收入</w:t>
      </w:r>
      <w:r>
        <w:rPr>
          <w:rFonts w:hint="eastAsia" w:ascii="仿宋_GB2312" w:eastAsia="仿宋_GB2312"/>
          <w:sz w:val="32"/>
          <w:szCs w:val="32"/>
        </w:rPr>
        <w:t>”“</w:t>
      </w:r>
      <w:r>
        <w:rPr>
          <w:rFonts w:hint="eastAsia" w:ascii="仿宋_GB2312" w:eastAsia="仿宋_GB2312" w:cs="仿宋_GB2312"/>
          <w:sz w:val="32"/>
          <w:szCs w:val="32"/>
        </w:rPr>
        <w:t>经营收入</w:t>
      </w:r>
      <w:r>
        <w:rPr>
          <w:rFonts w:hint="eastAsia" w:ascii="仿宋_GB2312" w:eastAsia="仿宋_GB2312"/>
          <w:sz w:val="32"/>
          <w:szCs w:val="32"/>
        </w:rPr>
        <w:t>”</w:t>
      </w:r>
      <w:r>
        <w:rPr>
          <w:rFonts w:hint="eastAsia" w:ascii="仿宋_GB2312" w:eastAsia="仿宋_GB2312" w:cs="仿宋_GB2312"/>
          <w:sz w:val="32"/>
          <w:szCs w:val="32"/>
        </w:rPr>
        <w:t>之外取得的收入。</w:t>
      </w:r>
      <w:r>
        <w:rPr>
          <w:rFonts w:hint="eastAsia" w:ascii="仿宋_GB2312" w:hAnsi="黑体" w:eastAsia="仿宋_GB2312" w:cs="仿宋_GB2312"/>
          <w:sz w:val="32"/>
          <w:szCs w:val="32"/>
        </w:rPr>
        <w:t>较2020年度决算数增加131.43万元，增长35.87%，主要原因是：城区在年底拨预拨了部分2022年特困人员经费。</w:t>
      </w:r>
    </w:p>
    <w:p>
      <w:pPr>
        <w:spacing w:line="360" w:lineRule="auto"/>
        <w:ind w:firstLine="627"/>
        <w:rPr>
          <w:rFonts w:ascii="仿宋_GB2312" w:eastAsia="仿宋_GB2312" w:cs="仿宋_GB2312"/>
          <w:sz w:val="32"/>
          <w:szCs w:val="32"/>
        </w:rPr>
      </w:pPr>
      <w:r>
        <w:rPr>
          <w:rFonts w:hint="eastAsia" w:ascii="仿宋_GB2312" w:eastAsia="仿宋_GB2312"/>
          <w:bCs/>
          <w:sz w:val="32"/>
          <w:szCs w:val="32"/>
        </w:rPr>
        <w:t>7</w:t>
      </w:r>
      <w:r>
        <w:rPr>
          <w:rFonts w:hint="eastAsia" w:ascii="仿宋_GB2312" w:eastAsia="仿宋_GB2312" w:cs="仿宋_GB2312"/>
          <w:sz w:val="32"/>
          <w:szCs w:val="32"/>
        </w:rPr>
        <w:t>.使用非财政拨款结余</w:t>
      </w:r>
      <w:r>
        <w:rPr>
          <w:rFonts w:ascii="仿宋_GB2312" w:eastAsia="仿宋_GB2312" w:cs="仿宋_GB2312"/>
          <w:sz w:val="32"/>
          <w:szCs w:val="32"/>
          <w:lang w:val="zh-CN"/>
        </w:rPr>
        <w:t>0</w:t>
      </w:r>
      <w:r>
        <w:rPr>
          <w:rFonts w:ascii="仿宋_GB2312" w:eastAsia="仿宋_GB2312" w:cs="仿宋_GB2312"/>
          <w:sz w:val="32"/>
          <w:szCs w:val="32"/>
        </w:rPr>
        <w:t>万元，主要是所属事业单位在当年的</w:t>
      </w:r>
      <w:r>
        <w:rPr>
          <w:rFonts w:hint="eastAsia" w:ascii="仿宋_GB2312" w:eastAsia="仿宋_GB2312"/>
          <w:sz w:val="32"/>
          <w:szCs w:val="32"/>
        </w:rPr>
        <w:t>“</w:t>
      </w:r>
      <w:r>
        <w:rPr>
          <w:rFonts w:hint="eastAsia" w:ascii="仿宋_GB2312" w:eastAsia="仿宋_GB2312" w:cs="仿宋_GB2312"/>
          <w:sz w:val="32"/>
          <w:szCs w:val="32"/>
        </w:rPr>
        <w:t>财政拨款收入</w:t>
      </w:r>
      <w:r>
        <w:rPr>
          <w:rFonts w:hint="eastAsia" w:ascii="仿宋_GB2312" w:eastAsia="仿宋_GB2312"/>
          <w:sz w:val="32"/>
          <w:szCs w:val="32"/>
        </w:rPr>
        <w:t>”“</w:t>
      </w:r>
      <w:r>
        <w:rPr>
          <w:rFonts w:hint="eastAsia" w:ascii="仿宋_GB2312" w:eastAsia="仿宋_GB2312" w:cs="仿宋_GB2312"/>
          <w:sz w:val="32"/>
          <w:szCs w:val="32"/>
        </w:rPr>
        <w:t>事业收入</w:t>
      </w:r>
      <w:r>
        <w:rPr>
          <w:rFonts w:hint="eastAsia" w:ascii="仿宋_GB2312" w:eastAsia="仿宋_GB2312"/>
          <w:sz w:val="32"/>
          <w:szCs w:val="32"/>
        </w:rPr>
        <w:t>”“</w:t>
      </w:r>
      <w:r>
        <w:rPr>
          <w:rFonts w:hint="eastAsia" w:ascii="仿宋_GB2312" w:eastAsia="仿宋_GB2312" w:cs="仿宋_GB2312"/>
          <w:sz w:val="32"/>
          <w:szCs w:val="32"/>
        </w:rPr>
        <w:t>经营收入</w:t>
      </w:r>
      <w:r>
        <w:rPr>
          <w:rFonts w:hint="eastAsia" w:ascii="仿宋_GB2312" w:eastAsia="仿宋_GB2312"/>
          <w:sz w:val="32"/>
          <w:szCs w:val="32"/>
        </w:rPr>
        <w:t>”</w:t>
      </w:r>
      <w:r>
        <w:rPr>
          <w:rFonts w:hint="eastAsia" w:ascii="仿宋_GB2312" w:eastAsia="仿宋_GB2312" w:cs="仿宋_GB2312"/>
          <w:sz w:val="32"/>
          <w:szCs w:val="32"/>
        </w:rPr>
        <w:t>及</w:t>
      </w:r>
      <w:r>
        <w:rPr>
          <w:rFonts w:hint="eastAsia" w:ascii="仿宋_GB2312" w:eastAsia="仿宋_GB2312"/>
          <w:sz w:val="32"/>
          <w:szCs w:val="32"/>
        </w:rPr>
        <w:t>“</w:t>
      </w:r>
      <w:r>
        <w:rPr>
          <w:rFonts w:hint="eastAsia" w:ascii="仿宋_GB2312" w:eastAsia="仿宋_GB2312" w:cs="仿宋_GB2312"/>
          <w:sz w:val="32"/>
          <w:szCs w:val="32"/>
        </w:rPr>
        <w:t>其他收入</w:t>
      </w:r>
      <w:r>
        <w:rPr>
          <w:rFonts w:hint="eastAsia" w:ascii="仿宋_GB2312" w:eastAsia="仿宋_GB2312"/>
          <w:sz w:val="32"/>
          <w:szCs w:val="32"/>
        </w:rPr>
        <w:t>”</w:t>
      </w:r>
      <w:r>
        <w:rPr>
          <w:rFonts w:hint="eastAsia" w:ascii="仿宋_GB2312" w:eastAsia="仿宋_GB2312" w:cs="仿宋_GB2312"/>
          <w:sz w:val="32"/>
          <w:szCs w:val="32"/>
        </w:rPr>
        <w:t>不能保证其支出的情况下，使用以前年度积累的非财政拨款结余弥补本年度收支缺口的资金。</w:t>
      </w:r>
      <w:r>
        <w:rPr>
          <w:rFonts w:hint="eastAsia" w:ascii="仿宋_GB2312" w:hAnsi="黑体" w:eastAsia="仿宋_GB2312" w:cs="仿宋_GB2312"/>
          <w:sz w:val="32"/>
          <w:szCs w:val="32"/>
        </w:rPr>
        <w:t>与上年持平。</w:t>
      </w:r>
    </w:p>
    <w:p>
      <w:pPr>
        <w:spacing w:line="360" w:lineRule="auto"/>
        <w:ind w:firstLine="627"/>
        <w:rPr>
          <w:rFonts w:ascii="仿宋_GB2312" w:eastAsia="仿宋_GB2312" w:cs="仿宋_GB2312"/>
          <w:sz w:val="32"/>
          <w:szCs w:val="32"/>
        </w:rPr>
      </w:pPr>
      <w:r>
        <w:rPr>
          <w:rFonts w:hint="eastAsia" w:ascii="仿宋_GB2312" w:eastAsia="仿宋_GB2312"/>
          <w:bCs/>
          <w:sz w:val="32"/>
          <w:szCs w:val="32"/>
        </w:rPr>
        <w:t>8</w:t>
      </w:r>
      <w:r>
        <w:rPr>
          <w:rFonts w:hint="eastAsia" w:ascii="仿宋_GB2312" w:eastAsia="仿宋_GB2312" w:cs="仿宋_GB2312"/>
          <w:sz w:val="32"/>
          <w:szCs w:val="32"/>
        </w:rPr>
        <w:t>.上年结转和结余220.55万元，为以前年度支出预算因客观条件变化未执行完毕、结转到本年度按有关规定继续使用的资金。</w:t>
      </w:r>
      <w:r>
        <w:rPr>
          <w:rFonts w:hint="eastAsia" w:ascii="仿宋_GB2312" w:hAnsi="黑体" w:eastAsia="仿宋_GB2312" w:cs="仿宋_GB2312"/>
          <w:sz w:val="32"/>
          <w:szCs w:val="32"/>
        </w:rPr>
        <w:t>较2020年度决算数减少307.82万元，下降58.26%，主要原因是：城区拨付的特困人员结余经费减少。</w:t>
      </w:r>
    </w:p>
    <w:p>
      <w:pPr>
        <w:spacing w:line="360" w:lineRule="auto"/>
        <w:ind w:firstLine="627"/>
        <w:rPr>
          <w:rFonts w:ascii="仿宋_GB2312" w:eastAsia="仿宋_GB2312" w:cs="仿宋_GB2312"/>
          <w:sz w:val="32"/>
          <w:szCs w:val="32"/>
        </w:rPr>
      </w:pPr>
      <w:r>
        <w:rPr>
          <w:rFonts w:hint="eastAsia" w:ascii="仿宋_GB2312" w:eastAsia="仿宋_GB2312" w:cs="仿宋_GB2312"/>
          <w:sz w:val="32"/>
          <w:szCs w:val="32"/>
        </w:rPr>
        <w:t>（二）本单位2021年度总支出2541.68万元，其中本年支出</w:t>
      </w:r>
      <w:r>
        <w:rPr>
          <w:rFonts w:ascii="仿宋_GB2312" w:eastAsia="仿宋_GB2312" w:cs="仿宋_GB2312"/>
          <w:sz w:val="32"/>
          <w:szCs w:val="32"/>
        </w:rPr>
        <w:t>2453.33</w:t>
      </w:r>
      <w:r>
        <w:rPr>
          <w:rFonts w:hint="eastAsia" w:ascii="仿宋_GB2312" w:eastAsia="仿宋_GB2312" w:cs="仿宋_GB2312"/>
          <w:sz w:val="32"/>
          <w:szCs w:val="32"/>
        </w:rPr>
        <w:t xml:space="preserve">万元, </w:t>
      </w:r>
      <w:r>
        <w:rPr>
          <w:rFonts w:hint="eastAsia" w:ascii="仿宋_GB2312" w:hAnsi="黑体" w:eastAsia="仿宋_GB2312" w:cs="仿宋_GB2312"/>
          <w:sz w:val="32"/>
          <w:szCs w:val="32"/>
        </w:rPr>
        <w:t>较2020年度决算数增加276.81万元，增长13%。</w:t>
      </w:r>
      <w:r>
        <w:rPr>
          <w:rFonts w:hint="eastAsia" w:ascii="仿宋_GB2312" w:eastAsia="仿宋_GB2312" w:cs="仿宋_GB2312"/>
          <w:sz w:val="32"/>
          <w:szCs w:val="32"/>
        </w:rPr>
        <w:t>支出具体情况如下：</w:t>
      </w:r>
    </w:p>
    <w:p>
      <w:pPr>
        <w:spacing w:line="360" w:lineRule="auto"/>
        <w:ind w:firstLine="627"/>
        <w:rPr>
          <w:rFonts w:ascii="仿宋_GB2312" w:hAnsi="黑体" w:eastAsia="仿宋_GB2312" w:cs="仿宋_GB2312"/>
          <w:sz w:val="32"/>
          <w:szCs w:val="32"/>
        </w:rPr>
      </w:pPr>
      <w:r>
        <w:rPr>
          <w:rFonts w:hint="eastAsia" w:ascii="仿宋_GB2312" w:eastAsia="仿宋_GB2312"/>
          <w:bCs/>
          <w:sz w:val="32"/>
          <w:szCs w:val="32"/>
        </w:rPr>
        <w:t>1</w:t>
      </w:r>
      <w:r>
        <w:rPr>
          <w:rFonts w:hint="eastAsia" w:ascii="仿宋_GB2312" w:eastAsia="仿宋_GB2312" w:cs="仿宋_GB2312"/>
          <w:sz w:val="32"/>
          <w:szCs w:val="32"/>
        </w:rPr>
        <w:t>.社会保障和就业支出（类）</w:t>
      </w:r>
      <w:r>
        <w:rPr>
          <w:rFonts w:ascii="仿宋_GB2312" w:eastAsia="仿宋_GB2312" w:cs="仿宋_GB2312"/>
          <w:sz w:val="32"/>
          <w:szCs w:val="32"/>
        </w:rPr>
        <w:t>2023.44</w:t>
      </w:r>
      <w:r>
        <w:rPr>
          <w:rFonts w:hint="eastAsia" w:ascii="仿宋_GB2312" w:eastAsia="仿宋_GB2312" w:cs="仿宋_GB2312"/>
          <w:sz w:val="32"/>
          <w:szCs w:val="32"/>
        </w:rPr>
        <w:t>万元：主要用于老年福利、事业单位离退休、机关事业单位基本养老保险缴费支出、机关事业单位职业年金缴费支出，</w:t>
      </w:r>
      <w:r>
        <w:rPr>
          <w:rFonts w:hint="eastAsia" w:ascii="仿宋_GB2312" w:hAnsi="黑体" w:eastAsia="仿宋_GB2312" w:cs="仿宋_GB2312"/>
          <w:sz w:val="32"/>
          <w:szCs w:val="32"/>
        </w:rPr>
        <w:t>较2020年度决算数增加139.76万元，增长7.42%，主要原因是：在编人员的工资及社保增加。</w:t>
      </w:r>
    </w:p>
    <w:p>
      <w:pPr>
        <w:spacing w:line="360" w:lineRule="auto"/>
        <w:ind w:firstLine="627"/>
        <w:rPr>
          <w:rFonts w:ascii="仿宋_GB2312" w:hAnsi="黑体" w:eastAsia="仿宋_GB2312" w:cs="仿宋_GB2312"/>
          <w:sz w:val="32"/>
          <w:szCs w:val="32"/>
        </w:rPr>
      </w:pPr>
      <w:r>
        <w:rPr>
          <w:rFonts w:hint="eastAsia" w:ascii="仿宋_GB2312" w:hAnsi="黑体" w:eastAsia="仿宋_GB2312" w:cs="仿宋_GB2312"/>
          <w:sz w:val="32"/>
          <w:szCs w:val="32"/>
        </w:rPr>
        <w:t>2.卫生健康支出（类）44.08万元：主要用于事业单位医疗，较2022年度决算数增加10.47万元，增长31.15%，主要原因是：人员的医疗经费增加。</w:t>
      </w:r>
    </w:p>
    <w:p>
      <w:pPr>
        <w:spacing w:line="360" w:lineRule="auto"/>
        <w:ind w:firstLine="627"/>
        <w:rPr>
          <w:rFonts w:ascii="仿宋_GB2312" w:hAnsi="黑体" w:eastAsia="仿宋_GB2312" w:cs="仿宋_GB2312"/>
          <w:sz w:val="32"/>
          <w:szCs w:val="32"/>
        </w:rPr>
      </w:pPr>
      <w:r>
        <w:rPr>
          <w:rFonts w:hint="eastAsia" w:ascii="仿宋_GB2312" w:hAnsi="黑体" w:eastAsia="仿宋_GB2312" w:cs="仿宋_GB2312"/>
          <w:sz w:val="32"/>
          <w:szCs w:val="32"/>
        </w:rPr>
        <w:t>3.住房保障支出（类）</w:t>
      </w:r>
      <w:r>
        <w:rPr>
          <w:rFonts w:ascii="仿宋_GB2312" w:hAnsi="黑体" w:eastAsia="仿宋_GB2312" w:cs="仿宋_GB2312"/>
          <w:sz w:val="32"/>
          <w:szCs w:val="32"/>
        </w:rPr>
        <w:t>94.73</w:t>
      </w:r>
      <w:r>
        <w:rPr>
          <w:rFonts w:hint="eastAsia" w:ascii="仿宋_GB2312" w:hAnsi="黑体" w:eastAsia="仿宋_GB2312" w:cs="仿宋_GB2312"/>
          <w:sz w:val="32"/>
          <w:szCs w:val="32"/>
        </w:rPr>
        <w:t>万元：主要用于住房公积金，较2022年度决算数减少2.48万元，减少2.55%，主要原因是：人员的住房公积金减少。</w:t>
      </w:r>
    </w:p>
    <w:p>
      <w:pPr>
        <w:spacing w:line="360" w:lineRule="auto"/>
        <w:ind w:firstLine="627"/>
        <w:rPr>
          <w:rFonts w:ascii="仿宋_GB2312" w:eastAsia="仿宋_GB2312" w:cs="仿宋_GB2312"/>
          <w:sz w:val="32"/>
          <w:szCs w:val="32"/>
        </w:rPr>
      </w:pPr>
      <w:r>
        <w:rPr>
          <w:rFonts w:hint="eastAsia" w:ascii="仿宋_GB2312" w:hAnsi="黑体" w:eastAsia="仿宋_GB2312" w:cs="仿宋_GB2312"/>
          <w:sz w:val="32"/>
          <w:szCs w:val="32"/>
        </w:rPr>
        <w:t>4.其他支出（类）</w:t>
      </w:r>
      <w:r>
        <w:rPr>
          <w:rFonts w:ascii="仿宋_GB2312" w:hAnsi="黑体" w:eastAsia="仿宋_GB2312" w:cs="仿宋_GB2312"/>
          <w:sz w:val="32"/>
          <w:szCs w:val="32"/>
        </w:rPr>
        <w:t>291.08</w:t>
      </w:r>
      <w:r>
        <w:rPr>
          <w:rFonts w:hint="eastAsia" w:ascii="仿宋_GB2312" w:hAnsi="黑体" w:eastAsia="仿宋_GB2312" w:cs="仿宋_GB2312"/>
          <w:sz w:val="32"/>
          <w:szCs w:val="32"/>
        </w:rPr>
        <w:t>万元：主要用于社会福利的彩票公益金支出，较2022年度决算数增加129.05万元，增加79.65%，主要原因是：用于院内维修改造的福彩公益金增加。</w:t>
      </w:r>
    </w:p>
    <w:p>
      <w:pPr>
        <w:spacing w:line="360" w:lineRule="auto"/>
        <w:ind w:firstLine="627"/>
        <w:rPr>
          <w:rFonts w:ascii="仿宋_GB2312" w:eastAsia="仿宋_GB2312" w:cs="仿宋_GB2312"/>
          <w:sz w:val="32"/>
          <w:szCs w:val="32"/>
        </w:rPr>
      </w:pPr>
      <w:r>
        <w:rPr>
          <w:rFonts w:hint="eastAsia" w:ascii="仿宋_GB2312" w:eastAsia="仿宋_GB2312"/>
          <w:bCs/>
          <w:sz w:val="32"/>
          <w:szCs w:val="32"/>
        </w:rPr>
        <w:t>5</w:t>
      </w:r>
      <w:r>
        <w:rPr>
          <w:rFonts w:hint="eastAsia" w:ascii="仿宋_GB2312" w:eastAsia="仿宋_GB2312" w:cs="仿宋_GB2312"/>
          <w:sz w:val="32"/>
          <w:szCs w:val="32"/>
        </w:rPr>
        <w:t>.结余分配0.25万元，为事业单位按规定提取的职工福利基金、事业基金和缴纳的所得税等。</w:t>
      </w:r>
      <w:r>
        <w:rPr>
          <w:rFonts w:hint="eastAsia" w:ascii="仿宋_GB2312" w:hAnsi="黑体" w:eastAsia="仿宋_GB2312" w:cs="仿宋_GB2312"/>
          <w:sz w:val="32"/>
          <w:szCs w:val="32"/>
        </w:rPr>
        <w:t>较2020年度决算数增加0.25万元，增长100 %，主要原因是：2021年利息收入及税局返还的个税收入。</w:t>
      </w:r>
    </w:p>
    <w:p>
      <w:pPr>
        <w:spacing w:line="360" w:lineRule="auto"/>
        <w:ind w:firstLine="627"/>
        <w:rPr>
          <w:rFonts w:ascii="仿宋_GB2312" w:eastAsia="仿宋_GB2312" w:cs="仿宋_GB2312"/>
          <w:sz w:val="32"/>
          <w:szCs w:val="32"/>
        </w:rPr>
      </w:pPr>
      <w:r>
        <w:rPr>
          <w:rFonts w:hint="eastAsia" w:ascii="仿宋_GB2312" w:eastAsia="仿宋_GB2312"/>
          <w:bCs/>
          <w:sz w:val="32"/>
          <w:szCs w:val="32"/>
        </w:rPr>
        <w:t>5</w:t>
      </w:r>
      <w:r>
        <w:rPr>
          <w:rFonts w:hint="eastAsia" w:ascii="仿宋_GB2312" w:eastAsia="仿宋_GB2312" w:cs="仿宋_GB2312"/>
          <w:sz w:val="32"/>
          <w:szCs w:val="32"/>
        </w:rPr>
        <w:t>.年末结转和结余88.09万元，为本年度或以前年度预算安排、因客观条件发生变化无法按原计划实施，需要延迟到以后年度按有关规定继续使用的资金。</w:t>
      </w:r>
      <w:r>
        <w:rPr>
          <w:rFonts w:hint="eastAsia" w:ascii="仿宋_GB2312" w:hAnsi="黑体" w:eastAsia="仿宋_GB2312" w:cs="仿宋_GB2312"/>
          <w:sz w:val="32"/>
          <w:szCs w:val="32"/>
        </w:rPr>
        <w:t>较2020年度决算数减少234.78万元，下降72.72%，主要原因是：非财政结转资金于2021年加快了使用进度，2021年未无财政结转资金。</w:t>
      </w:r>
    </w:p>
    <w:p>
      <w:pPr>
        <w:spacing w:line="360" w:lineRule="auto"/>
        <w:ind w:firstLine="640"/>
        <w:jc w:val="left"/>
        <w:rPr>
          <w:rFonts w:ascii="黑体" w:hAnsi="黑体" w:eastAsia="黑体" w:cs="仿宋_GB2312"/>
          <w:sz w:val="32"/>
          <w:szCs w:val="32"/>
        </w:rPr>
      </w:pPr>
      <w:r>
        <w:rPr>
          <w:rFonts w:hint="eastAsia" w:ascii="黑体" w:hAnsi="黑体" w:eastAsia="黑体" w:cs="仿宋_GB2312"/>
          <w:sz w:val="32"/>
          <w:szCs w:val="32"/>
        </w:rPr>
        <w:t>二、</w:t>
      </w:r>
      <w:r>
        <w:rPr>
          <w:rFonts w:hint="eastAsia" w:ascii="黑体" w:hAnsi="黑体" w:eastAsia="黑体"/>
          <w:sz w:val="32"/>
          <w:szCs w:val="32"/>
        </w:rPr>
        <w:t>2021</w:t>
      </w:r>
      <w:r>
        <w:rPr>
          <w:rFonts w:hint="eastAsia" w:ascii="黑体" w:hAnsi="黑体" w:eastAsia="黑体" w:cs="仿宋_GB2312"/>
          <w:sz w:val="32"/>
          <w:szCs w:val="32"/>
        </w:rPr>
        <w:t>年度</w:t>
      </w:r>
      <w:r>
        <w:rPr>
          <w:rFonts w:hint="eastAsia" w:ascii="黑体" w:hAnsi="黑体" w:eastAsia="黑体"/>
          <w:sz w:val="32"/>
          <w:szCs w:val="32"/>
        </w:rPr>
        <w:t>一般</w:t>
      </w:r>
      <w:r>
        <w:rPr>
          <w:rFonts w:hint="eastAsia" w:ascii="黑体" w:hAnsi="黑体" w:eastAsia="黑体" w:cs="仿宋_GB2312"/>
          <w:sz w:val="32"/>
          <w:szCs w:val="32"/>
        </w:rPr>
        <w:t>公共预算财政拨款支出决算情况</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本单位</w:t>
      </w:r>
      <w:r>
        <w:rPr>
          <w:rFonts w:hint="eastAsia" w:ascii="仿宋_GB2312" w:eastAsia="仿宋_GB2312"/>
          <w:sz w:val="32"/>
          <w:szCs w:val="32"/>
        </w:rPr>
        <w:t>2021</w:t>
      </w:r>
      <w:r>
        <w:rPr>
          <w:rFonts w:hint="eastAsia" w:ascii="仿宋_GB2312" w:eastAsia="仿宋_GB2312" w:cs="仿宋_GB2312"/>
          <w:sz w:val="32"/>
          <w:szCs w:val="32"/>
        </w:rPr>
        <w:t>年度</w:t>
      </w:r>
      <w:r>
        <w:rPr>
          <w:rFonts w:hint="eastAsia" w:ascii="仿宋_GB2312" w:eastAsia="仿宋_GB2312"/>
          <w:sz w:val="32"/>
          <w:szCs w:val="32"/>
        </w:rPr>
        <w:t>一般</w:t>
      </w:r>
      <w:r>
        <w:rPr>
          <w:rFonts w:hint="eastAsia" w:ascii="仿宋_GB2312" w:eastAsia="仿宋_GB2312" w:cs="仿宋_GB2312"/>
          <w:sz w:val="32"/>
          <w:szCs w:val="32"/>
        </w:rPr>
        <w:t>公共预算财政拨款支出</w:t>
      </w:r>
      <w:r>
        <w:rPr>
          <w:rFonts w:ascii="仿宋_GB2312" w:eastAsia="仿宋_GB2312" w:cs="仿宋_GB2312"/>
          <w:sz w:val="32"/>
          <w:szCs w:val="32"/>
        </w:rPr>
        <w:t>1558.38</w:t>
      </w:r>
      <w:r>
        <w:rPr>
          <w:rFonts w:hint="eastAsia" w:ascii="仿宋_GB2312" w:eastAsia="仿宋_GB2312" w:cs="仿宋_GB2312"/>
          <w:sz w:val="32"/>
          <w:szCs w:val="32"/>
        </w:rPr>
        <w:t>万元，</w:t>
      </w:r>
      <w:r>
        <w:rPr>
          <w:rFonts w:hint="eastAsia" w:ascii="仿宋_GB2312" w:hAnsi="黑体" w:eastAsia="仿宋_GB2312" w:cs="仿宋_GB2312"/>
          <w:sz w:val="32"/>
          <w:szCs w:val="32"/>
        </w:rPr>
        <w:t>较2020年度决算数减少75.77万元，下降4.86%。</w:t>
      </w:r>
      <w:r>
        <w:rPr>
          <w:rFonts w:hint="eastAsia" w:ascii="仿宋_GB2312" w:eastAsia="仿宋_GB2312" w:cs="仿宋_GB2312"/>
          <w:sz w:val="32"/>
          <w:szCs w:val="32"/>
        </w:rPr>
        <w:t>其中：基本支出</w:t>
      </w:r>
      <w:r>
        <w:rPr>
          <w:rFonts w:ascii="仿宋_GB2312" w:eastAsia="仿宋_GB2312" w:cs="仿宋_GB2312"/>
          <w:sz w:val="32"/>
          <w:szCs w:val="32"/>
        </w:rPr>
        <w:t>1248.36</w:t>
      </w:r>
      <w:r>
        <w:rPr>
          <w:rFonts w:hint="eastAsia" w:ascii="仿宋_GB2312" w:eastAsia="仿宋_GB2312" w:cs="仿宋_GB2312"/>
          <w:sz w:val="32"/>
          <w:szCs w:val="32"/>
        </w:rPr>
        <w:t>万元，项目支出</w:t>
      </w:r>
      <w:r>
        <w:rPr>
          <w:rFonts w:ascii="仿宋_GB2312" w:eastAsia="仿宋_GB2312" w:cs="仿宋_GB2312"/>
          <w:sz w:val="32"/>
          <w:szCs w:val="32"/>
        </w:rPr>
        <w:t>310.02</w:t>
      </w:r>
      <w:r>
        <w:rPr>
          <w:rFonts w:hint="eastAsia" w:ascii="仿宋_GB2312" w:eastAsia="仿宋_GB2312" w:cs="仿宋_GB2312"/>
          <w:sz w:val="32"/>
          <w:szCs w:val="32"/>
        </w:rPr>
        <w:t>万元。</w:t>
      </w:r>
    </w:p>
    <w:p>
      <w:pPr>
        <w:spacing w:line="360" w:lineRule="auto"/>
        <w:ind w:firstLine="640"/>
        <w:rPr>
          <w:rFonts w:ascii="仿宋_GB2312" w:hAnsi="黑体" w:eastAsia="仿宋_GB2312" w:cs="仿宋_GB2312"/>
          <w:sz w:val="32"/>
          <w:szCs w:val="32"/>
        </w:rPr>
      </w:pPr>
      <w:r>
        <w:rPr>
          <w:rFonts w:hint="eastAsia" w:ascii="仿宋_GB2312" w:eastAsia="仿宋_GB2312" w:cs="仿宋_GB2312"/>
          <w:sz w:val="32"/>
          <w:szCs w:val="32"/>
        </w:rPr>
        <w:t>本单位</w:t>
      </w:r>
      <w:r>
        <w:rPr>
          <w:rFonts w:hint="eastAsia" w:ascii="仿宋_GB2312" w:hAnsi="黑体" w:eastAsia="仿宋_GB2312"/>
          <w:sz w:val="32"/>
          <w:szCs w:val="32"/>
        </w:rPr>
        <w:t>2021</w:t>
      </w:r>
      <w:r>
        <w:rPr>
          <w:rFonts w:hint="eastAsia" w:ascii="仿宋_GB2312" w:hAnsi="黑体" w:eastAsia="仿宋_GB2312" w:cs="仿宋_GB2312"/>
          <w:sz w:val="32"/>
          <w:szCs w:val="32"/>
        </w:rPr>
        <w:t>年度</w:t>
      </w:r>
      <w:r>
        <w:rPr>
          <w:rFonts w:hint="eastAsia" w:ascii="仿宋_GB2312" w:hAnsi="黑体" w:eastAsia="仿宋_GB2312"/>
          <w:sz w:val="32"/>
          <w:szCs w:val="32"/>
        </w:rPr>
        <w:t>一般</w:t>
      </w:r>
      <w:r>
        <w:rPr>
          <w:rFonts w:hint="eastAsia" w:ascii="仿宋_GB2312" w:hAnsi="黑体" w:eastAsia="仿宋_GB2312" w:cs="仿宋_GB2312"/>
          <w:sz w:val="32"/>
          <w:szCs w:val="32"/>
        </w:rPr>
        <w:t>公共预算财政拨款支出年初预算为</w:t>
      </w:r>
      <w:r>
        <w:rPr>
          <w:rFonts w:ascii="仿宋_GB2312" w:hAnsi="黑体" w:eastAsia="仿宋_GB2312" w:cs="仿宋_GB2312"/>
          <w:sz w:val="32"/>
          <w:szCs w:val="32"/>
        </w:rPr>
        <w:t>1558.38</w:t>
      </w:r>
      <w:r>
        <w:rPr>
          <w:rFonts w:hint="eastAsia" w:ascii="仿宋_GB2312" w:hAnsi="黑体" w:eastAsia="仿宋_GB2312" w:cs="仿宋_GB2312"/>
          <w:sz w:val="32"/>
          <w:szCs w:val="32"/>
        </w:rPr>
        <w:t>万元，支出决算为</w:t>
      </w:r>
      <w:r>
        <w:rPr>
          <w:rFonts w:ascii="仿宋_GB2312" w:hAnsi="黑体" w:eastAsia="仿宋_GB2312" w:cs="仿宋_GB2312"/>
          <w:sz w:val="32"/>
          <w:szCs w:val="32"/>
        </w:rPr>
        <w:t>1558.38</w:t>
      </w:r>
      <w:r>
        <w:rPr>
          <w:rFonts w:hint="eastAsia" w:ascii="仿宋_GB2312" w:hAnsi="黑体" w:eastAsia="仿宋_GB2312" w:cs="仿宋_GB2312"/>
          <w:sz w:val="32"/>
          <w:szCs w:val="32"/>
        </w:rPr>
        <w:t>万元，完成年初预算的100%。其中：</w:t>
      </w:r>
    </w:p>
    <w:p>
      <w:pPr>
        <w:spacing w:line="360" w:lineRule="auto"/>
        <w:ind w:firstLine="627"/>
        <w:rPr>
          <w:rFonts w:ascii="仿宋_GB2312" w:hAnsi="黑体" w:eastAsia="仿宋_GB2312" w:cs="仿宋_GB2312"/>
          <w:sz w:val="32"/>
          <w:szCs w:val="32"/>
        </w:rPr>
      </w:pPr>
      <w:r>
        <w:rPr>
          <w:rFonts w:hint="eastAsia" w:ascii="仿宋_GB2312" w:eastAsia="仿宋_GB2312"/>
          <w:bCs/>
          <w:sz w:val="32"/>
          <w:szCs w:val="32"/>
        </w:rPr>
        <w:t>（一）</w:t>
      </w:r>
      <w:r>
        <w:rPr>
          <w:rFonts w:ascii="仿宋_GB2312" w:eastAsia="仿宋_GB2312" w:cs="仿宋_GB2312"/>
          <w:bCs/>
          <w:sz w:val="32"/>
          <w:szCs w:val="32"/>
        </w:rPr>
        <w:t>社会保障和就业支出（类）行政事业单位养老支出（款）事业单位离退休（项）</w:t>
      </w:r>
      <w:r>
        <w:rPr>
          <w:rFonts w:hint="eastAsia" w:ascii="仿宋_GB2312" w:eastAsia="仿宋_GB2312" w:cs="仿宋_GB2312"/>
          <w:sz w:val="32"/>
          <w:szCs w:val="32"/>
        </w:rPr>
        <w:t>。</w:t>
      </w:r>
      <w:r>
        <w:rPr>
          <w:rFonts w:hint="eastAsia" w:ascii="仿宋_GB2312" w:hAnsi="黑体" w:eastAsia="仿宋_GB2312" w:cs="仿宋_GB2312"/>
          <w:sz w:val="32"/>
          <w:szCs w:val="32"/>
        </w:rPr>
        <w:t>年初预算为</w:t>
      </w:r>
      <w:r>
        <w:rPr>
          <w:rFonts w:ascii="仿宋_GB2312" w:hAnsi="黑体" w:eastAsia="仿宋_GB2312" w:cs="仿宋_GB2312"/>
          <w:sz w:val="32"/>
          <w:szCs w:val="32"/>
        </w:rPr>
        <w:t>81.07万元，支出决算为81.07万元，完成年初预算的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w:t>
      </w:r>
    </w:p>
    <w:p>
      <w:pPr>
        <w:spacing w:line="360" w:lineRule="auto"/>
        <w:ind w:firstLine="627"/>
        <w:rPr>
          <w:rFonts w:ascii="仿宋_GB2312" w:hAnsi="黑体" w:eastAsia="仿宋_GB2312" w:cs="仿宋_GB2312"/>
          <w:sz w:val="32"/>
          <w:szCs w:val="32"/>
        </w:rPr>
      </w:pPr>
      <w:r>
        <w:rPr>
          <w:rFonts w:ascii="仿宋_GB2312" w:eastAsia="仿宋_GB2312"/>
          <w:bCs/>
          <w:sz w:val="32"/>
          <w:szCs w:val="32"/>
        </w:rPr>
        <w:t>（二）</w:t>
      </w:r>
      <w:r>
        <w:rPr>
          <w:rFonts w:ascii="仿宋_GB2312" w:eastAsia="仿宋_GB2312" w:cs="仿宋_GB2312"/>
          <w:bCs/>
          <w:sz w:val="32"/>
          <w:szCs w:val="32"/>
        </w:rPr>
        <w:t>社会保障和就业支出（类）行政事业单位养老支出（款）机关事业单位基本养老保险缴费支出（项）</w:t>
      </w:r>
      <w:r>
        <w:rPr>
          <w:rFonts w:ascii="仿宋_GB2312" w:eastAsia="仿宋_GB2312" w:cs="仿宋_GB2312"/>
          <w:sz w:val="32"/>
          <w:szCs w:val="32"/>
        </w:rPr>
        <w:t>。</w:t>
      </w:r>
      <w:r>
        <w:rPr>
          <w:rFonts w:ascii="仿宋_GB2312" w:hAnsi="黑体" w:eastAsia="仿宋_GB2312" w:cs="仿宋_GB2312"/>
          <w:sz w:val="32"/>
          <w:szCs w:val="32"/>
        </w:rPr>
        <w:t>年初预算为89.2万元，支出决算为89.2万元，完成年初预算的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w:t>
      </w:r>
    </w:p>
    <w:p>
      <w:pPr>
        <w:spacing w:line="360" w:lineRule="auto"/>
        <w:ind w:firstLine="627"/>
        <w:rPr>
          <w:rFonts w:ascii="仿宋_GB2312" w:hAnsi="黑体" w:eastAsia="仿宋_GB2312" w:cs="仿宋_GB2312"/>
          <w:sz w:val="32"/>
          <w:szCs w:val="32"/>
        </w:rPr>
      </w:pPr>
      <w:r>
        <w:rPr>
          <w:rFonts w:ascii="仿宋_GB2312" w:eastAsia="仿宋_GB2312"/>
          <w:bCs/>
          <w:sz w:val="32"/>
          <w:szCs w:val="32"/>
        </w:rPr>
        <w:t>（三）</w:t>
      </w:r>
      <w:r>
        <w:rPr>
          <w:rFonts w:ascii="仿宋_GB2312" w:eastAsia="仿宋_GB2312" w:cs="仿宋_GB2312"/>
          <w:bCs/>
          <w:sz w:val="32"/>
          <w:szCs w:val="32"/>
        </w:rPr>
        <w:t>社会保障和就业支出（类）行政事业单位养老支出（款）机关事业单位职业年金缴费支出（项）</w:t>
      </w:r>
      <w:r>
        <w:rPr>
          <w:rFonts w:ascii="仿宋_GB2312" w:eastAsia="仿宋_GB2312" w:cs="仿宋_GB2312"/>
          <w:sz w:val="32"/>
          <w:szCs w:val="32"/>
        </w:rPr>
        <w:t>。</w:t>
      </w:r>
      <w:r>
        <w:rPr>
          <w:rFonts w:ascii="仿宋_GB2312" w:hAnsi="黑体" w:eastAsia="仿宋_GB2312" w:cs="仿宋_GB2312"/>
          <w:sz w:val="32"/>
          <w:szCs w:val="32"/>
        </w:rPr>
        <w:t>年初预算为44.14万元，支出决算为44.14万元，完成年初预算的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w:t>
      </w:r>
    </w:p>
    <w:p>
      <w:pPr>
        <w:spacing w:line="360" w:lineRule="auto"/>
        <w:ind w:firstLine="627"/>
        <w:rPr>
          <w:rFonts w:ascii="仿宋_GB2312" w:hAnsi="黑体" w:eastAsia="仿宋_GB2312" w:cs="仿宋_GB2312"/>
          <w:sz w:val="32"/>
          <w:szCs w:val="32"/>
        </w:rPr>
      </w:pPr>
      <w:r>
        <w:rPr>
          <w:rFonts w:ascii="仿宋_GB2312" w:eastAsia="仿宋_GB2312"/>
          <w:bCs/>
          <w:sz w:val="32"/>
          <w:szCs w:val="32"/>
        </w:rPr>
        <w:t>（四）</w:t>
      </w:r>
      <w:r>
        <w:rPr>
          <w:rFonts w:ascii="仿宋_GB2312" w:eastAsia="仿宋_GB2312" w:cs="仿宋_GB2312"/>
          <w:bCs/>
          <w:sz w:val="32"/>
          <w:szCs w:val="32"/>
        </w:rPr>
        <w:t>社会保障和就业支出（类）社会福利（款）老年福利（项）</w:t>
      </w:r>
      <w:r>
        <w:rPr>
          <w:rFonts w:ascii="仿宋_GB2312" w:eastAsia="仿宋_GB2312" w:cs="仿宋_GB2312"/>
          <w:sz w:val="32"/>
          <w:szCs w:val="32"/>
        </w:rPr>
        <w:t>。</w:t>
      </w:r>
      <w:r>
        <w:rPr>
          <w:rFonts w:ascii="仿宋_GB2312" w:hAnsi="黑体" w:eastAsia="仿宋_GB2312" w:cs="仿宋_GB2312"/>
          <w:sz w:val="32"/>
          <w:szCs w:val="32"/>
        </w:rPr>
        <w:t>年初预算为1204.91万元，支出决算为1204.91万元，完成年初预算的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w:t>
      </w:r>
    </w:p>
    <w:p>
      <w:pPr>
        <w:spacing w:line="360" w:lineRule="auto"/>
        <w:ind w:firstLine="627"/>
        <w:rPr>
          <w:rFonts w:ascii="仿宋_GB2312" w:hAnsi="黑体" w:eastAsia="仿宋_GB2312" w:cs="仿宋_GB2312"/>
          <w:sz w:val="32"/>
          <w:szCs w:val="32"/>
        </w:rPr>
      </w:pPr>
      <w:r>
        <w:rPr>
          <w:rFonts w:ascii="仿宋_GB2312" w:eastAsia="仿宋_GB2312"/>
          <w:bCs/>
          <w:sz w:val="32"/>
          <w:szCs w:val="32"/>
        </w:rPr>
        <w:t>（五）</w:t>
      </w:r>
      <w:r>
        <w:rPr>
          <w:rFonts w:ascii="仿宋_GB2312" w:eastAsia="仿宋_GB2312" w:cs="仿宋_GB2312"/>
          <w:bCs/>
          <w:sz w:val="32"/>
          <w:szCs w:val="32"/>
        </w:rPr>
        <w:t>社会保障和就业支出（类）社会福利（款）社会福利事业单位（项）</w:t>
      </w:r>
      <w:r>
        <w:rPr>
          <w:rFonts w:ascii="仿宋_GB2312" w:eastAsia="仿宋_GB2312" w:cs="仿宋_GB2312"/>
          <w:sz w:val="32"/>
          <w:szCs w:val="32"/>
        </w:rPr>
        <w:t>。</w:t>
      </w:r>
      <w:r>
        <w:rPr>
          <w:rFonts w:ascii="仿宋_GB2312" w:hAnsi="黑体" w:eastAsia="仿宋_GB2312" w:cs="仿宋_GB2312"/>
          <w:sz w:val="32"/>
          <w:szCs w:val="32"/>
        </w:rPr>
        <w:t>年初预算为0.25万元，支出决算为0.25万元，完成年初预算的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w:t>
      </w:r>
    </w:p>
    <w:p>
      <w:pPr>
        <w:spacing w:line="360" w:lineRule="auto"/>
        <w:ind w:firstLine="627"/>
        <w:rPr>
          <w:rFonts w:ascii="仿宋_GB2312" w:hAnsi="黑体" w:eastAsia="仿宋_GB2312" w:cs="仿宋_GB2312"/>
          <w:sz w:val="32"/>
        </w:rPr>
      </w:pPr>
      <w:r>
        <w:rPr>
          <w:rFonts w:ascii="仿宋_GB2312" w:eastAsia="仿宋_GB2312"/>
          <w:bCs/>
          <w:sz w:val="32"/>
          <w:szCs w:val="32"/>
        </w:rPr>
        <w:t>（六）</w:t>
      </w:r>
      <w:r>
        <w:rPr>
          <w:rFonts w:ascii="仿宋_GB2312" w:eastAsia="仿宋_GB2312" w:cs="仿宋_GB2312"/>
          <w:bCs/>
          <w:sz w:val="32"/>
          <w:szCs w:val="32"/>
        </w:rPr>
        <w:t>卫生健康支出（类）行政事业单位医疗（款）事业单位医疗（项）</w:t>
      </w:r>
      <w:r>
        <w:rPr>
          <w:rFonts w:ascii="仿宋_GB2312" w:eastAsia="仿宋_GB2312" w:cs="仿宋_GB2312"/>
          <w:sz w:val="32"/>
          <w:szCs w:val="32"/>
        </w:rPr>
        <w:t>。</w:t>
      </w:r>
      <w:r>
        <w:rPr>
          <w:rFonts w:ascii="仿宋_GB2312" w:hAnsi="黑体" w:eastAsia="仿宋_GB2312" w:cs="仿宋_GB2312"/>
          <w:sz w:val="32"/>
          <w:szCs w:val="32"/>
        </w:rPr>
        <w:t>年初预算为43.94万元，支出决算为43.94万元，完成年初预算的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w:t>
      </w:r>
    </w:p>
    <w:p>
      <w:pPr>
        <w:spacing w:line="360" w:lineRule="auto"/>
        <w:ind w:firstLine="627"/>
        <w:rPr>
          <w:rFonts w:ascii="仿宋_GB2312" w:hAnsi="黑体" w:eastAsia="仿宋_GB2312" w:cs="仿宋_GB2312"/>
          <w:sz w:val="32"/>
        </w:rPr>
      </w:pPr>
      <w:r>
        <w:rPr>
          <w:rFonts w:ascii="仿宋_GB2312" w:eastAsia="仿宋_GB2312"/>
          <w:bCs/>
          <w:sz w:val="32"/>
          <w:szCs w:val="32"/>
        </w:rPr>
        <w:t>（七）</w:t>
      </w:r>
      <w:r>
        <w:rPr>
          <w:rFonts w:ascii="仿宋_GB2312" w:eastAsia="仿宋_GB2312" w:cs="仿宋_GB2312"/>
          <w:bCs/>
          <w:sz w:val="32"/>
          <w:szCs w:val="32"/>
        </w:rPr>
        <w:t>卫生健康支出（类）行政事业单位医疗（款）其他行政事业单位医疗支出（项）</w:t>
      </w:r>
      <w:r>
        <w:rPr>
          <w:rFonts w:ascii="仿宋_GB2312" w:eastAsia="仿宋_GB2312" w:cs="仿宋_GB2312"/>
          <w:sz w:val="32"/>
          <w:szCs w:val="32"/>
        </w:rPr>
        <w:t>。</w:t>
      </w:r>
      <w:r>
        <w:rPr>
          <w:rFonts w:ascii="仿宋_GB2312" w:hAnsi="黑体" w:eastAsia="仿宋_GB2312" w:cs="仿宋_GB2312"/>
          <w:sz w:val="32"/>
          <w:szCs w:val="32"/>
        </w:rPr>
        <w:t>年初预算为</w:t>
      </w:r>
      <w:r>
        <w:rPr>
          <w:rFonts w:ascii="仿宋_GB2312" w:hAnsi="黑体" w:eastAsia="仿宋_GB2312" w:cs="仿宋_GB2312"/>
          <w:sz w:val="32"/>
          <w:szCs w:val="32"/>
          <w:lang w:val="zh-CN"/>
        </w:rPr>
        <w:t>0.1</w:t>
      </w:r>
      <w:r>
        <w:rPr>
          <w:rFonts w:ascii="仿宋_GB2312" w:hAnsi="黑体" w:eastAsia="仿宋_GB2312" w:cs="仿宋_GB2312"/>
          <w:sz w:val="32"/>
          <w:szCs w:val="32"/>
        </w:rPr>
        <w:t>4万元，支出决算为</w:t>
      </w:r>
      <w:r>
        <w:rPr>
          <w:rFonts w:ascii="仿宋_GB2312" w:hAnsi="黑体" w:eastAsia="仿宋_GB2312" w:cs="仿宋_GB2312"/>
          <w:sz w:val="32"/>
          <w:szCs w:val="32"/>
          <w:lang w:val="zh-CN"/>
        </w:rPr>
        <w:t>0.1</w:t>
      </w:r>
      <w:r>
        <w:rPr>
          <w:rFonts w:ascii="仿宋_GB2312" w:hAnsi="黑体" w:eastAsia="仿宋_GB2312" w:cs="仿宋_GB2312"/>
          <w:sz w:val="32"/>
          <w:szCs w:val="32"/>
        </w:rPr>
        <w:t>4万元，完成年初预算的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w:t>
      </w:r>
    </w:p>
    <w:p>
      <w:pPr>
        <w:spacing w:line="360" w:lineRule="auto"/>
        <w:ind w:firstLine="627"/>
        <w:rPr>
          <w:rFonts w:ascii="仿宋_GB2312" w:hAnsi="黑体" w:eastAsia="仿宋_GB2312" w:cs="仿宋_GB2312"/>
        </w:rPr>
      </w:pPr>
      <w:r>
        <w:rPr>
          <w:rFonts w:ascii="仿宋_GB2312" w:eastAsia="仿宋_GB2312"/>
          <w:bCs/>
          <w:sz w:val="32"/>
          <w:szCs w:val="32"/>
        </w:rPr>
        <w:t>（八）</w:t>
      </w:r>
      <w:r>
        <w:rPr>
          <w:rFonts w:ascii="仿宋_GB2312" w:eastAsia="仿宋_GB2312" w:cs="仿宋_GB2312"/>
          <w:bCs/>
          <w:sz w:val="32"/>
          <w:szCs w:val="32"/>
        </w:rPr>
        <w:t>住房保障支出（类）住房改革支出（款）住房公积金（项）</w:t>
      </w:r>
      <w:r>
        <w:rPr>
          <w:rFonts w:ascii="仿宋_GB2312" w:eastAsia="仿宋_GB2312" w:cs="仿宋_GB2312"/>
          <w:sz w:val="32"/>
          <w:szCs w:val="32"/>
        </w:rPr>
        <w:t>。</w:t>
      </w:r>
      <w:r>
        <w:rPr>
          <w:rFonts w:ascii="仿宋_GB2312" w:hAnsi="黑体" w:eastAsia="仿宋_GB2312" w:cs="仿宋_GB2312"/>
          <w:sz w:val="32"/>
          <w:szCs w:val="32"/>
        </w:rPr>
        <w:t>年初预算为94.73万元，支出决算为94.73万元，完成年初预算的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w:t>
      </w:r>
    </w:p>
    <w:p>
      <w:pPr>
        <w:spacing w:line="360" w:lineRule="auto"/>
        <w:ind w:firstLine="640"/>
        <w:jc w:val="left"/>
        <w:rPr>
          <w:rFonts w:ascii="黑体" w:hAnsi="黑体" w:eastAsia="黑体" w:cs="仿宋_GB2312"/>
          <w:sz w:val="32"/>
          <w:szCs w:val="32"/>
        </w:rPr>
      </w:pPr>
      <w:r>
        <w:rPr>
          <w:rFonts w:hint="eastAsia" w:ascii="黑体" w:hAnsi="黑体" w:eastAsia="黑体" w:cs="仿宋_GB2312"/>
          <w:sz w:val="32"/>
          <w:szCs w:val="32"/>
        </w:rPr>
        <w:t>三、2021年度一般公共预算财政拨款基本支出决算情况说明</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本单位2021年度</w:t>
      </w:r>
      <w:r>
        <w:rPr>
          <w:rFonts w:hint="eastAsia" w:ascii="仿宋_GB2312" w:eastAsia="仿宋_GB2312"/>
          <w:sz w:val="32"/>
          <w:szCs w:val="32"/>
        </w:rPr>
        <w:t>一般</w:t>
      </w:r>
      <w:r>
        <w:rPr>
          <w:rFonts w:hint="eastAsia" w:ascii="仿宋_GB2312" w:eastAsia="仿宋_GB2312" w:cs="仿宋_GB2312"/>
          <w:sz w:val="32"/>
          <w:szCs w:val="32"/>
        </w:rPr>
        <w:t>公共预算财政拨款基本支出</w:t>
      </w:r>
      <w:r>
        <w:rPr>
          <w:rFonts w:ascii="仿宋_GB2312" w:eastAsia="仿宋_GB2312" w:cs="仿宋_GB2312"/>
          <w:sz w:val="32"/>
          <w:szCs w:val="32"/>
        </w:rPr>
        <w:t>1248.36万元，支出具体情况如下：</w:t>
      </w:r>
    </w:p>
    <w:p>
      <w:pPr>
        <w:spacing w:line="360" w:lineRule="auto"/>
        <w:ind w:firstLine="640"/>
        <w:rPr>
          <w:rFonts w:ascii="仿宋_GB2312" w:eastAsia="仿宋_GB2312"/>
          <w:bCs/>
          <w:sz w:val="32"/>
          <w:szCs w:val="32"/>
        </w:rPr>
      </w:pPr>
      <w:r>
        <w:rPr>
          <w:rFonts w:hint="eastAsia" w:ascii="仿宋_GB2312" w:eastAsia="仿宋_GB2312"/>
          <w:bCs/>
          <w:sz w:val="32"/>
          <w:szCs w:val="32"/>
        </w:rPr>
        <w:t>（一）工资福利支出</w:t>
      </w:r>
      <w:r>
        <w:rPr>
          <w:rFonts w:ascii="仿宋_GB2312" w:eastAsia="仿宋_GB2312"/>
          <w:bCs/>
          <w:sz w:val="32"/>
          <w:szCs w:val="32"/>
        </w:rPr>
        <w:t>1098.65万元，完成年初预算的</w:t>
      </w:r>
      <w:r>
        <w:rPr>
          <w:rFonts w:ascii="仿宋_GB2312" w:eastAsia="仿宋_GB2312"/>
          <w:bCs/>
          <w:sz w:val="32"/>
          <w:szCs w:val="32"/>
          <w:lang w:val="zh-CN"/>
        </w:rPr>
        <w:t>100</w:t>
      </w:r>
      <w:r>
        <w:rPr>
          <w:rFonts w:ascii="仿宋_GB2312" w:eastAsia="仿宋_GB2312"/>
          <w:bCs/>
          <w:sz w:val="32"/>
          <w:szCs w:val="32"/>
        </w:rPr>
        <w:t xml:space="preserve"> %。</w:t>
      </w:r>
    </w:p>
    <w:p>
      <w:pPr>
        <w:spacing w:line="360" w:lineRule="auto"/>
        <w:ind w:firstLine="640"/>
        <w:rPr>
          <w:rFonts w:ascii="仿宋_GB2312" w:eastAsia="仿宋_GB2312"/>
          <w:bCs/>
          <w:sz w:val="32"/>
          <w:szCs w:val="32"/>
        </w:rPr>
      </w:pPr>
      <w:r>
        <w:rPr>
          <w:rFonts w:hint="eastAsia" w:ascii="仿宋_GB2312" w:eastAsia="仿宋_GB2312"/>
          <w:bCs/>
          <w:sz w:val="32"/>
          <w:szCs w:val="32"/>
        </w:rPr>
        <w:t>（二）商品和服务支出</w:t>
      </w:r>
      <w:r>
        <w:rPr>
          <w:rFonts w:ascii="仿宋_GB2312" w:eastAsia="仿宋_GB2312"/>
          <w:bCs/>
          <w:sz w:val="32"/>
          <w:szCs w:val="32"/>
        </w:rPr>
        <w:t>65.46万元，完成年初预算的</w:t>
      </w:r>
      <w:r>
        <w:rPr>
          <w:rFonts w:ascii="仿宋_GB2312" w:eastAsia="仿宋_GB2312"/>
          <w:bCs/>
          <w:sz w:val="32"/>
          <w:szCs w:val="32"/>
          <w:lang w:val="zh-CN"/>
        </w:rPr>
        <w:t>100</w:t>
      </w:r>
      <w:r>
        <w:rPr>
          <w:rFonts w:ascii="仿宋_GB2312" w:eastAsia="仿宋_GB2312"/>
          <w:bCs/>
          <w:sz w:val="32"/>
          <w:szCs w:val="32"/>
        </w:rPr>
        <w:t>%。</w:t>
      </w:r>
    </w:p>
    <w:p>
      <w:pPr>
        <w:spacing w:line="360" w:lineRule="auto"/>
        <w:ind w:firstLine="640"/>
        <w:rPr>
          <w:rFonts w:ascii="仿宋_GB2312" w:eastAsia="仿宋_GB2312"/>
          <w:sz w:val="32"/>
          <w:szCs w:val="32"/>
        </w:rPr>
      </w:pPr>
      <w:r>
        <w:rPr>
          <w:rFonts w:ascii="仿宋_GB2312" w:eastAsia="仿宋_GB2312"/>
          <w:bCs/>
          <w:sz w:val="32"/>
          <w:szCs w:val="32"/>
          <w:lang w:val="zh-CN"/>
        </w:rPr>
        <w:t>（三）对个人和家庭的补助84.25万元，</w:t>
      </w:r>
      <w:r>
        <w:rPr>
          <w:rFonts w:ascii="仿宋_GB2312" w:eastAsia="仿宋_GB2312"/>
          <w:bCs/>
          <w:sz w:val="32"/>
          <w:szCs w:val="32"/>
        </w:rPr>
        <w:t>完成年初预算的</w:t>
      </w:r>
      <w:r>
        <w:rPr>
          <w:rFonts w:ascii="仿宋_GB2312" w:eastAsia="仿宋_GB2312"/>
          <w:bCs/>
          <w:sz w:val="32"/>
          <w:szCs w:val="32"/>
          <w:lang w:val="zh-CN"/>
        </w:rPr>
        <w:t>100</w:t>
      </w:r>
      <w:r>
        <w:rPr>
          <w:rFonts w:ascii="仿宋_GB2312" w:eastAsia="仿宋_GB2312"/>
          <w:bCs/>
          <w:sz w:val="32"/>
          <w:szCs w:val="32"/>
        </w:rPr>
        <w:t>%。</w:t>
      </w:r>
    </w:p>
    <w:p>
      <w:pPr>
        <w:spacing w:line="360" w:lineRule="auto"/>
        <w:ind w:firstLine="640"/>
        <w:jc w:val="left"/>
        <w:rPr>
          <w:rFonts w:ascii="黑体" w:hAnsi="黑体" w:eastAsia="黑体" w:cs="仿宋_GB2312"/>
          <w:sz w:val="32"/>
          <w:szCs w:val="32"/>
        </w:rPr>
      </w:pPr>
      <w:r>
        <w:rPr>
          <w:rFonts w:hint="eastAsia" w:ascii="黑体" w:hAnsi="黑体" w:eastAsia="黑体" w:cs="仿宋_GB2312"/>
          <w:sz w:val="32"/>
          <w:szCs w:val="32"/>
        </w:rPr>
        <w:t>四、2021年度政府性基金支出决算情况</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本单位</w:t>
      </w:r>
      <w:r>
        <w:rPr>
          <w:rFonts w:hint="eastAsia" w:ascii="仿宋_GB2312" w:eastAsia="仿宋_GB2312"/>
          <w:sz w:val="32"/>
          <w:szCs w:val="32"/>
        </w:rPr>
        <w:t>2021</w:t>
      </w:r>
      <w:r>
        <w:rPr>
          <w:rFonts w:hint="eastAsia" w:ascii="仿宋_GB2312" w:eastAsia="仿宋_GB2312" w:cs="仿宋_GB2312"/>
          <w:sz w:val="32"/>
          <w:szCs w:val="32"/>
        </w:rPr>
        <w:t>年度政府性基金支出</w:t>
      </w:r>
      <w:r>
        <w:rPr>
          <w:rFonts w:ascii="仿宋_GB2312" w:eastAsia="仿宋_GB2312" w:cs="仿宋_GB2312"/>
          <w:sz w:val="32"/>
          <w:szCs w:val="32"/>
          <w:lang w:val="zh-CN"/>
        </w:rPr>
        <w:t>291.08</w:t>
      </w:r>
      <w:r>
        <w:rPr>
          <w:rFonts w:ascii="仿宋_GB2312" w:eastAsia="仿宋_GB2312" w:cs="仿宋_GB2312"/>
          <w:sz w:val="32"/>
          <w:szCs w:val="32"/>
        </w:rPr>
        <w:t>万元，</w:t>
      </w:r>
      <w:r>
        <w:rPr>
          <w:rFonts w:hint="eastAsia" w:ascii="仿宋_GB2312" w:hAnsi="黑体" w:eastAsia="仿宋_GB2312" w:cs="仿宋_GB2312"/>
          <w:sz w:val="32"/>
          <w:szCs w:val="32"/>
        </w:rPr>
        <w:t>较2020年度决算数增加</w:t>
      </w:r>
      <w:r>
        <w:rPr>
          <w:rFonts w:ascii="仿宋_GB2312" w:hAnsi="黑体" w:eastAsia="仿宋_GB2312" w:cs="仿宋_GB2312"/>
          <w:sz w:val="32"/>
          <w:szCs w:val="32"/>
          <w:lang w:val="zh-CN"/>
        </w:rPr>
        <w:t>129.05</w:t>
      </w:r>
      <w:r>
        <w:rPr>
          <w:rFonts w:ascii="仿宋_GB2312" w:hAnsi="黑体" w:eastAsia="仿宋_GB2312" w:cs="仿宋_GB2312"/>
          <w:sz w:val="32"/>
          <w:szCs w:val="32"/>
        </w:rPr>
        <w:t>万元，增长</w:t>
      </w:r>
      <w:r>
        <w:rPr>
          <w:rFonts w:ascii="仿宋_GB2312" w:hAnsi="黑体" w:eastAsia="仿宋_GB2312" w:cs="仿宋_GB2312"/>
          <w:sz w:val="32"/>
          <w:szCs w:val="32"/>
          <w:lang w:val="zh-CN"/>
        </w:rPr>
        <w:t>79.65</w:t>
      </w:r>
      <w:r>
        <w:rPr>
          <w:rFonts w:ascii="仿宋_GB2312" w:hAnsi="黑体" w:eastAsia="仿宋_GB2312" w:cs="仿宋_GB2312"/>
          <w:sz w:val="32"/>
          <w:szCs w:val="32"/>
        </w:rPr>
        <w:t>%。</w:t>
      </w:r>
      <w:r>
        <w:rPr>
          <w:rFonts w:hint="eastAsia" w:ascii="仿宋_GB2312" w:eastAsia="仿宋_GB2312" w:cs="仿宋_GB2312"/>
          <w:sz w:val="32"/>
          <w:szCs w:val="32"/>
        </w:rPr>
        <w:t>其中：基本支出</w:t>
      </w:r>
      <w:r>
        <w:rPr>
          <w:rFonts w:ascii="仿宋_GB2312" w:eastAsia="仿宋_GB2312" w:cs="仿宋_GB2312"/>
          <w:sz w:val="32"/>
          <w:szCs w:val="32"/>
          <w:lang w:val="zh-CN"/>
        </w:rPr>
        <w:t>0</w:t>
      </w:r>
      <w:r>
        <w:rPr>
          <w:rFonts w:ascii="仿宋_GB2312" w:eastAsia="仿宋_GB2312" w:cs="仿宋_GB2312"/>
          <w:sz w:val="32"/>
          <w:szCs w:val="32"/>
        </w:rPr>
        <w:t>万元，项目支出</w:t>
      </w:r>
      <w:r>
        <w:rPr>
          <w:rFonts w:ascii="仿宋_GB2312" w:eastAsia="仿宋_GB2312" w:cs="仿宋_GB2312"/>
          <w:sz w:val="32"/>
          <w:szCs w:val="32"/>
          <w:lang w:val="zh-CN"/>
        </w:rPr>
        <w:t>291.08</w:t>
      </w:r>
      <w:r>
        <w:rPr>
          <w:rFonts w:ascii="仿宋_GB2312" w:eastAsia="仿宋_GB2312" w:cs="仿宋_GB2312"/>
          <w:sz w:val="32"/>
          <w:szCs w:val="32"/>
        </w:rPr>
        <w:t>万元。</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本单位</w:t>
      </w:r>
      <w:r>
        <w:rPr>
          <w:rFonts w:hint="eastAsia" w:ascii="仿宋_GB2312" w:hAnsi="黑体" w:eastAsia="仿宋_GB2312"/>
          <w:sz w:val="32"/>
          <w:szCs w:val="32"/>
        </w:rPr>
        <w:t>2021</w:t>
      </w:r>
      <w:r>
        <w:rPr>
          <w:rFonts w:hint="eastAsia" w:ascii="仿宋_GB2312" w:hAnsi="黑体" w:eastAsia="仿宋_GB2312" w:cs="仿宋_GB2312"/>
          <w:sz w:val="32"/>
          <w:szCs w:val="32"/>
        </w:rPr>
        <w:t>年度政府性基金支出年初预算为</w:t>
      </w:r>
      <w:r>
        <w:rPr>
          <w:rFonts w:ascii="仿宋_GB2312" w:hAnsi="黑体" w:eastAsia="仿宋_GB2312" w:cs="仿宋_GB2312"/>
          <w:sz w:val="32"/>
          <w:szCs w:val="32"/>
        </w:rPr>
        <w:t>291.08万元，</w:t>
      </w:r>
      <w:r>
        <w:rPr>
          <w:rFonts w:hint="eastAsia" w:ascii="仿宋_GB2312" w:hAnsi="黑体" w:eastAsia="仿宋_GB2312" w:cs="仿宋_GB2312"/>
          <w:sz w:val="32"/>
          <w:szCs w:val="32"/>
        </w:rPr>
        <w:t>支出决算为</w:t>
      </w:r>
      <w:r>
        <w:rPr>
          <w:rFonts w:ascii="仿宋_GB2312" w:hAnsi="黑体" w:eastAsia="仿宋_GB2312" w:cs="仿宋_GB2312"/>
          <w:sz w:val="32"/>
          <w:szCs w:val="32"/>
        </w:rPr>
        <w:t>291.08万元，完成年初预算的</w:t>
      </w:r>
      <w:r>
        <w:rPr>
          <w:rFonts w:ascii="仿宋_GB2312" w:hAnsi="黑体" w:eastAsia="仿宋_GB2312" w:cs="仿宋_GB2312"/>
          <w:sz w:val="32"/>
          <w:szCs w:val="32"/>
          <w:lang w:val="zh-CN"/>
        </w:rPr>
        <w:t>100</w:t>
      </w:r>
      <w:r>
        <w:rPr>
          <w:rFonts w:ascii="仿宋_GB2312" w:hAnsi="黑体" w:eastAsia="仿宋_GB2312" w:cs="仿宋_GB2312"/>
          <w:sz w:val="32"/>
          <w:szCs w:val="32"/>
        </w:rPr>
        <w:t>%。其中：</w:t>
      </w:r>
    </w:p>
    <w:p>
      <w:pPr>
        <w:spacing w:line="360" w:lineRule="auto"/>
        <w:ind w:firstLine="320"/>
        <w:rPr>
          <w:rFonts w:ascii="仿宋_GB2312" w:eastAsia="仿宋_GB2312" w:cs="仿宋_GB2312"/>
          <w:bCs/>
          <w:sz w:val="32"/>
          <w:szCs w:val="32"/>
        </w:rPr>
      </w:pPr>
      <w:r>
        <w:rPr>
          <w:rFonts w:hint="eastAsia" w:ascii="仿宋_GB2312" w:eastAsia="仿宋_GB2312"/>
          <w:bCs/>
          <w:sz w:val="32"/>
          <w:szCs w:val="32"/>
        </w:rPr>
        <w:t>（一）</w:t>
      </w:r>
      <w:r>
        <w:rPr>
          <w:rFonts w:ascii="仿宋_GB2312" w:eastAsia="仿宋_GB2312" w:cs="仿宋_GB2312"/>
          <w:bCs/>
          <w:sz w:val="32"/>
          <w:szCs w:val="32"/>
        </w:rPr>
        <w:t xml:space="preserve">其他支出（类）彩票公益金安排的支出（款）用于社会福利的彩票公益金支出（项）。年初预算为291.08万元，支出决算为291.08万元，完成年初预算的 </w:t>
      </w:r>
      <w:r>
        <w:rPr>
          <w:rFonts w:ascii="仿宋_GB2312" w:eastAsia="仿宋_GB2312" w:cs="仿宋_GB2312"/>
          <w:bCs/>
          <w:sz w:val="32"/>
          <w:szCs w:val="32"/>
          <w:lang w:val="zh-CN"/>
        </w:rPr>
        <w:t>100</w:t>
      </w:r>
      <w:r>
        <w:rPr>
          <w:rFonts w:ascii="仿宋_GB2312" w:eastAsia="仿宋_GB2312" w:cs="仿宋_GB2312"/>
          <w:bCs/>
          <w:sz w:val="32"/>
          <w:szCs w:val="32"/>
        </w:rPr>
        <w:t>%。</w:t>
      </w:r>
    </w:p>
    <w:p>
      <w:pPr>
        <w:spacing w:line="360" w:lineRule="auto"/>
        <w:ind w:firstLine="640"/>
        <w:rPr>
          <w:rFonts w:ascii="黑体" w:hAnsi="黑体" w:eastAsia="黑体" w:cs="仿宋_GB2312"/>
          <w:sz w:val="32"/>
          <w:szCs w:val="32"/>
        </w:rPr>
      </w:pPr>
      <w:r>
        <w:rPr>
          <w:rFonts w:hint="eastAsia" w:ascii="黑体" w:hAnsi="黑体" w:eastAsia="黑体" w:cs="仿宋_GB2312"/>
          <w:sz w:val="32"/>
          <w:szCs w:val="32"/>
        </w:rPr>
        <w:t>五、2021年度国有资本经营预算支出决算情况</w:t>
      </w:r>
    </w:p>
    <w:p>
      <w:pPr>
        <w:spacing w:line="360" w:lineRule="auto"/>
        <w:ind w:firstLine="643"/>
        <w:rPr>
          <w:rFonts w:ascii="仿宋_GB2312" w:eastAsia="仿宋_GB2312" w:cs="仿宋_GB2312"/>
          <w:sz w:val="32"/>
          <w:szCs w:val="32"/>
        </w:rPr>
      </w:pPr>
      <w:r>
        <w:rPr>
          <w:rFonts w:hint="eastAsia" w:ascii="仿宋_GB2312" w:eastAsia="仿宋_GB2312" w:cs="仿宋_GB2312"/>
          <w:b/>
          <w:bCs/>
          <w:sz w:val="32"/>
          <w:szCs w:val="32"/>
        </w:rPr>
        <w:t>柳州市社会福利院2</w:t>
      </w:r>
      <w:r>
        <w:rPr>
          <w:rFonts w:ascii="仿宋_GB2312" w:eastAsia="仿宋_GB2312" w:cs="仿宋_GB2312"/>
          <w:b/>
          <w:bCs/>
          <w:sz w:val="32"/>
          <w:szCs w:val="32"/>
        </w:rPr>
        <w:t>02</w:t>
      </w:r>
      <w:r>
        <w:rPr>
          <w:rFonts w:hint="eastAsia" w:ascii="仿宋_GB2312" w:eastAsia="仿宋_GB2312" w:cs="仿宋_GB2312"/>
          <w:b/>
          <w:bCs/>
          <w:sz w:val="32"/>
          <w:szCs w:val="32"/>
        </w:rPr>
        <w:t>1年度没有</w:t>
      </w:r>
      <w:r>
        <w:rPr>
          <w:rFonts w:hint="eastAsia" w:ascii="仿宋_GB2312" w:eastAsia="仿宋_GB2312"/>
          <w:b/>
          <w:sz w:val="32"/>
          <w:szCs w:val="32"/>
        </w:rPr>
        <w:t>国有资本经营预算财政拨款</w:t>
      </w:r>
      <w:r>
        <w:rPr>
          <w:rFonts w:hint="eastAsia" w:ascii="仿宋_GB2312" w:eastAsia="仿宋_GB2312" w:cs="仿宋_GB2312"/>
          <w:b/>
          <w:bCs/>
          <w:sz w:val="32"/>
          <w:szCs w:val="32"/>
        </w:rPr>
        <w:t>收入，也没有</w:t>
      </w:r>
      <w:r>
        <w:rPr>
          <w:rFonts w:hint="eastAsia" w:ascii="仿宋_GB2312" w:eastAsia="仿宋_GB2312"/>
          <w:b/>
          <w:sz w:val="32"/>
          <w:szCs w:val="32"/>
        </w:rPr>
        <w:t>国有资本经营预算财政拨款安排</w:t>
      </w:r>
      <w:r>
        <w:rPr>
          <w:rFonts w:hint="eastAsia" w:ascii="仿宋_GB2312" w:eastAsia="仿宋_GB2312" w:cs="仿宋_GB2312"/>
          <w:b/>
          <w:bCs/>
          <w:sz w:val="32"/>
          <w:szCs w:val="32"/>
        </w:rPr>
        <w:t>的支出，故无数据情况说明</w:t>
      </w:r>
      <w:r>
        <w:rPr>
          <w:rFonts w:hint="eastAsia" w:ascii="仿宋_GB2312" w:eastAsia="仿宋_GB2312" w:cs="仿宋_GB2312"/>
          <w:sz w:val="32"/>
          <w:szCs w:val="32"/>
        </w:rPr>
        <w:t>。</w:t>
      </w:r>
    </w:p>
    <w:p>
      <w:pPr>
        <w:spacing w:line="360" w:lineRule="auto"/>
        <w:ind w:firstLine="640"/>
        <w:rPr>
          <w:rFonts w:ascii="黑体" w:hAnsi="黑体" w:eastAsia="黑体" w:cs="仿宋_GB2312"/>
          <w:sz w:val="32"/>
          <w:szCs w:val="32"/>
        </w:rPr>
      </w:pPr>
      <w:r>
        <w:rPr>
          <w:rFonts w:hint="eastAsia" w:ascii="黑体" w:hAnsi="黑体" w:eastAsia="黑体" w:cs="仿宋_GB2312"/>
          <w:sz w:val="32"/>
          <w:szCs w:val="32"/>
        </w:rPr>
        <w:t>六、</w:t>
      </w:r>
      <w:r>
        <w:rPr>
          <w:rFonts w:hint="eastAsia" w:ascii="黑体" w:hAnsi="黑体" w:eastAsia="黑体"/>
          <w:sz w:val="32"/>
          <w:szCs w:val="32"/>
        </w:rPr>
        <w:t>一般</w:t>
      </w:r>
      <w:r>
        <w:rPr>
          <w:rFonts w:hint="eastAsia" w:ascii="黑体" w:hAnsi="黑体" w:eastAsia="黑体" w:cs="仿宋_GB2312"/>
          <w:sz w:val="32"/>
          <w:szCs w:val="32"/>
        </w:rPr>
        <w:t>公共预算财政拨款安排的“三公”经费支出决算情况说明</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本单位2021年度</w:t>
      </w:r>
      <w:r>
        <w:rPr>
          <w:rFonts w:hint="eastAsia" w:ascii="仿宋_GB2312" w:eastAsia="仿宋_GB2312"/>
          <w:sz w:val="32"/>
          <w:szCs w:val="32"/>
        </w:rPr>
        <w:t>一般</w:t>
      </w:r>
      <w:r>
        <w:rPr>
          <w:rFonts w:hint="eastAsia" w:ascii="仿宋_GB2312" w:eastAsia="仿宋_GB2312" w:cs="仿宋_GB2312"/>
          <w:sz w:val="32"/>
          <w:szCs w:val="32"/>
        </w:rPr>
        <w:t>公共预算财政拨款安排的“三公”经费支出</w:t>
      </w:r>
      <w:r>
        <w:rPr>
          <w:rFonts w:ascii="仿宋_GB2312" w:eastAsia="仿宋_GB2312" w:cs="仿宋_GB2312"/>
          <w:sz w:val="32"/>
          <w:szCs w:val="32"/>
          <w:lang w:val="zh-CN"/>
        </w:rPr>
        <w:t>1.07</w:t>
      </w:r>
      <w:r>
        <w:rPr>
          <w:rFonts w:ascii="仿宋_GB2312" w:eastAsia="仿宋_GB2312" w:cs="仿宋_GB2312"/>
          <w:sz w:val="32"/>
          <w:szCs w:val="32"/>
        </w:rPr>
        <w:t>万元，完成年初预算的</w:t>
      </w:r>
      <w:r>
        <w:rPr>
          <w:rFonts w:ascii="仿宋_GB2312" w:eastAsia="仿宋_GB2312" w:cs="仿宋_GB2312"/>
          <w:sz w:val="32"/>
          <w:szCs w:val="32"/>
          <w:lang w:val="zh-CN"/>
        </w:rPr>
        <w:t>100</w:t>
      </w:r>
      <w:r>
        <w:rPr>
          <w:rFonts w:ascii="仿宋_GB2312" w:eastAsia="仿宋_GB2312" w:cs="仿宋_GB2312"/>
          <w:sz w:val="32"/>
          <w:szCs w:val="32"/>
        </w:rPr>
        <w:t>%，比上年减少</w:t>
      </w:r>
      <w:r>
        <w:rPr>
          <w:rFonts w:ascii="仿宋_GB2312" w:eastAsia="仿宋_GB2312" w:cs="仿宋_GB2312"/>
          <w:sz w:val="32"/>
          <w:szCs w:val="32"/>
          <w:lang w:val="zh-CN"/>
        </w:rPr>
        <w:t>0.69</w:t>
      </w:r>
      <w:r>
        <w:rPr>
          <w:rFonts w:ascii="仿宋_GB2312" w:eastAsia="仿宋_GB2312" w:cs="仿宋_GB2312"/>
          <w:sz w:val="32"/>
          <w:szCs w:val="32"/>
        </w:rPr>
        <w:t>万元，主要原因是</w:t>
      </w:r>
      <w:r>
        <w:rPr>
          <w:rFonts w:ascii="仿宋_GB2312" w:eastAsia="仿宋_GB2312" w:cs="仿宋_GB2312"/>
          <w:sz w:val="32"/>
          <w:szCs w:val="32"/>
          <w:lang w:val="zh-CN"/>
        </w:rPr>
        <w:t>财政压减公用用车运行维护费</w:t>
      </w:r>
      <w:r>
        <w:rPr>
          <w:rFonts w:ascii="仿宋_GB2312" w:eastAsia="仿宋_GB2312" w:cs="仿宋_GB2312"/>
          <w:sz w:val="32"/>
          <w:szCs w:val="32"/>
        </w:rPr>
        <w:t>。其中：因公出国（境）费支出决算</w:t>
      </w:r>
      <w:r>
        <w:rPr>
          <w:rFonts w:ascii="仿宋_GB2312" w:eastAsia="仿宋_GB2312" w:cs="仿宋_GB2312"/>
          <w:sz w:val="32"/>
          <w:szCs w:val="32"/>
          <w:lang w:val="zh-CN"/>
        </w:rPr>
        <w:t>0</w:t>
      </w:r>
      <w:r>
        <w:rPr>
          <w:rFonts w:ascii="仿宋_GB2312" w:eastAsia="仿宋_GB2312" w:cs="仿宋_GB2312"/>
          <w:sz w:val="32"/>
          <w:szCs w:val="32"/>
        </w:rPr>
        <w:t>万元，公务用车购置及运行费支出决算</w:t>
      </w:r>
      <w:r>
        <w:rPr>
          <w:rFonts w:ascii="仿宋_GB2312" w:eastAsia="仿宋_GB2312" w:cs="仿宋_GB2312"/>
          <w:sz w:val="32"/>
          <w:szCs w:val="32"/>
          <w:lang w:val="zh-CN"/>
        </w:rPr>
        <w:t>0.82</w:t>
      </w:r>
      <w:r>
        <w:rPr>
          <w:rFonts w:ascii="仿宋_GB2312" w:eastAsia="仿宋_GB2312" w:cs="仿宋_GB2312"/>
          <w:sz w:val="32"/>
          <w:szCs w:val="32"/>
        </w:rPr>
        <w:t>万元，公务接待费支出决算</w:t>
      </w:r>
      <w:r>
        <w:rPr>
          <w:rFonts w:ascii="仿宋_GB2312" w:eastAsia="仿宋_GB2312" w:cs="仿宋_GB2312"/>
          <w:sz w:val="32"/>
          <w:szCs w:val="32"/>
          <w:lang w:val="zh-CN"/>
        </w:rPr>
        <w:t>0.25</w:t>
      </w:r>
      <w:r>
        <w:rPr>
          <w:rFonts w:ascii="仿宋_GB2312" w:eastAsia="仿宋_GB2312" w:cs="仿宋_GB2312"/>
          <w:sz w:val="32"/>
          <w:szCs w:val="32"/>
        </w:rPr>
        <w:t xml:space="preserve"> 万元。</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具体情况如下：</w:t>
      </w:r>
    </w:p>
    <w:p>
      <w:pPr>
        <w:spacing w:line="360" w:lineRule="auto"/>
        <w:ind w:firstLine="640"/>
        <w:rPr>
          <w:rFonts w:ascii="仿宋_GB2312" w:hAnsi="黑体" w:eastAsia="仿宋_GB2312"/>
          <w:bCs/>
          <w:color w:val="000000"/>
          <w:sz w:val="32"/>
          <w:szCs w:val="32"/>
        </w:rPr>
      </w:pPr>
      <w:r>
        <w:rPr>
          <w:rFonts w:hint="eastAsia" w:ascii="仿宋_GB2312" w:eastAsia="仿宋_GB2312" w:cs="仿宋_GB2312"/>
          <w:sz w:val="32"/>
          <w:szCs w:val="32"/>
        </w:rPr>
        <w:t>（一）因公出国（境）费支出</w:t>
      </w:r>
      <w:r>
        <w:rPr>
          <w:rFonts w:ascii="仿宋_GB2312" w:eastAsia="仿宋_GB2312" w:cs="仿宋_GB2312"/>
          <w:sz w:val="32"/>
          <w:szCs w:val="32"/>
          <w:lang w:val="zh-CN"/>
        </w:rPr>
        <w:t>0</w:t>
      </w:r>
      <w:r>
        <w:rPr>
          <w:rFonts w:ascii="仿宋_GB2312" w:eastAsia="仿宋_GB2312" w:cs="仿宋_GB2312"/>
          <w:sz w:val="32"/>
          <w:szCs w:val="32"/>
        </w:rPr>
        <w:t>万元，完成年初预算的</w:t>
      </w:r>
      <w:r>
        <w:rPr>
          <w:rFonts w:ascii="仿宋_GB2312" w:eastAsia="仿宋_GB2312" w:cs="仿宋_GB2312"/>
          <w:sz w:val="32"/>
          <w:szCs w:val="32"/>
          <w:lang w:val="zh-CN"/>
        </w:rPr>
        <w:t>0</w:t>
      </w:r>
      <w:r>
        <w:rPr>
          <w:rFonts w:ascii="仿宋_GB2312" w:eastAsia="仿宋_GB2312" w:cs="仿宋_GB2312"/>
          <w:sz w:val="32"/>
          <w:szCs w:val="32"/>
        </w:rPr>
        <w:t>%，比上年增减</w:t>
      </w:r>
      <w:r>
        <w:rPr>
          <w:rFonts w:ascii="仿宋_GB2312" w:eastAsia="仿宋_GB2312" w:cs="仿宋_GB2312"/>
          <w:sz w:val="32"/>
          <w:szCs w:val="32"/>
          <w:lang w:val="zh-CN"/>
        </w:rPr>
        <w:t>0</w:t>
      </w:r>
      <w:r>
        <w:rPr>
          <w:rFonts w:ascii="仿宋_GB2312" w:eastAsia="仿宋_GB2312" w:cs="仿宋_GB2312"/>
          <w:sz w:val="32"/>
          <w:szCs w:val="32"/>
        </w:rPr>
        <w:t>万元。全年使用财政拨款安排</w:t>
      </w:r>
      <w:r>
        <w:rPr>
          <w:rFonts w:hint="eastAsia" w:ascii="仿宋_GB2312" w:hAnsi="黑体" w:eastAsia="仿宋_GB2312"/>
          <w:bCs/>
          <w:color w:val="000000"/>
          <w:sz w:val="32"/>
          <w:szCs w:val="32"/>
        </w:rPr>
        <w:t>柳州市社会福利院</w:t>
      </w:r>
      <w:r>
        <w:rPr>
          <w:rFonts w:ascii="仿宋_GB2312" w:hAnsi="黑体" w:eastAsia="仿宋_GB2312"/>
          <w:bCs/>
          <w:color w:val="000000"/>
          <w:sz w:val="32"/>
          <w:szCs w:val="32"/>
        </w:rPr>
        <w:t>所属单位出国团组</w:t>
      </w:r>
      <w:r>
        <w:rPr>
          <w:rFonts w:ascii="仿宋_GB2312" w:hAnsi="黑体" w:eastAsia="仿宋_GB2312"/>
          <w:bCs/>
          <w:color w:val="000000"/>
          <w:sz w:val="32"/>
          <w:szCs w:val="32"/>
          <w:lang w:val="zh-CN"/>
        </w:rPr>
        <w:t>0</w:t>
      </w:r>
      <w:r>
        <w:rPr>
          <w:rFonts w:ascii="仿宋_GB2312" w:hAnsi="黑体" w:eastAsia="仿宋_GB2312"/>
          <w:bCs/>
          <w:color w:val="000000"/>
          <w:sz w:val="32"/>
          <w:szCs w:val="32"/>
        </w:rPr>
        <w:t>个，参加其他单位组织的出国团组</w:t>
      </w:r>
      <w:r>
        <w:rPr>
          <w:rFonts w:ascii="仿宋_GB2312" w:hAnsi="黑体" w:eastAsia="仿宋_GB2312"/>
          <w:bCs/>
          <w:color w:val="000000"/>
          <w:sz w:val="32"/>
          <w:szCs w:val="32"/>
          <w:lang w:val="zh-CN"/>
        </w:rPr>
        <w:t>0</w:t>
      </w:r>
      <w:r>
        <w:rPr>
          <w:rFonts w:ascii="仿宋_GB2312" w:hAnsi="黑体" w:eastAsia="仿宋_GB2312"/>
          <w:bCs/>
          <w:color w:val="000000"/>
          <w:sz w:val="32"/>
          <w:szCs w:val="32"/>
        </w:rPr>
        <w:t>个，全年因公出国（境）团组共计</w:t>
      </w:r>
      <w:r>
        <w:rPr>
          <w:rFonts w:ascii="仿宋_GB2312" w:hAnsi="黑体" w:eastAsia="仿宋_GB2312"/>
          <w:bCs/>
          <w:color w:val="000000"/>
          <w:sz w:val="32"/>
          <w:szCs w:val="32"/>
          <w:lang w:val="zh-CN"/>
        </w:rPr>
        <w:t>0</w:t>
      </w:r>
      <w:r>
        <w:rPr>
          <w:rFonts w:ascii="仿宋_GB2312" w:hAnsi="黑体" w:eastAsia="仿宋_GB2312"/>
          <w:bCs/>
          <w:color w:val="000000"/>
          <w:sz w:val="32"/>
          <w:szCs w:val="32"/>
        </w:rPr>
        <w:t>个，累计</w:t>
      </w:r>
      <w:r>
        <w:rPr>
          <w:rFonts w:ascii="仿宋_GB2312" w:hAnsi="黑体" w:eastAsia="仿宋_GB2312"/>
          <w:bCs/>
          <w:color w:val="000000"/>
          <w:sz w:val="32"/>
          <w:szCs w:val="32"/>
          <w:lang w:val="zh-CN"/>
        </w:rPr>
        <w:t>0</w:t>
      </w:r>
      <w:r>
        <w:rPr>
          <w:rFonts w:ascii="仿宋_GB2312" w:hAnsi="黑体" w:eastAsia="仿宋_GB2312"/>
          <w:bCs/>
          <w:color w:val="000000"/>
          <w:sz w:val="32"/>
          <w:szCs w:val="32"/>
        </w:rPr>
        <w:t>人次。</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（二）公务用车购置及运行费支出</w:t>
      </w:r>
      <w:r>
        <w:rPr>
          <w:rFonts w:ascii="仿宋_GB2312" w:eastAsia="仿宋_GB2312" w:cs="仿宋_GB2312"/>
          <w:sz w:val="32"/>
          <w:szCs w:val="32"/>
          <w:lang w:val="zh-CN"/>
        </w:rPr>
        <w:t>0.82</w:t>
      </w:r>
      <w:r>
        <w:rPr>
          <w:rFonts w:ascii="仿宋_GB2312" w:eastAsia="仿宋_GB2312" w:cs="仿宋_GB2312"/>
          <w:sz w:val="32"/>
          <w:szCs w:val="32"/>
        </w:rPr>
        <w:t>万元。其中：</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公务用车购置支出</w:t>
      </w:r>
      <w:r>
        <w:rPr>
          <w:rFonts w:ascii="仿宋_GB2312" w:eastAsia="仿宋_GB2312" w:cs="仿宋_GB2312"/>
          <w:sz w:val="32"/>
          <w:szCs w:val="32"/>
          <w:lang w:val="zh-CN"/>
        </w:rPr>
        <w:t>0</w:t>
      </w:r>
      <w:r>
        <w:rPr>
          <w:rFonts w:ascii="仿宋_GB2312" w:eastAsia="仿宋_GB2312" w:cs="仿宋_GB2312"/>
          <w:sz w:val="32"/>
          <w:szCs w:val="32"/>
        </w:rPr>
        <w:t>万元，</w:t>
      </w:r>
      <w:r>
        <w:rPr>
          <w:rFonts w:hint="eastAsia" w:ascii="仿宋_GB2312" w:eastAsia="仿宋_GB2312" w:cs="仿宋_GB2312"/>
          <w:sz w:val="32"/>
          <w:szCs w:val="32"/>
        </w:rPr>
        <w:t>完成年初预算的0%，比上年增加（减少）0万元，原因是未购置公务用车。购置了  0辆公务用车，主要用于无</w:t>
      </w:r>
      <w:r>
        <w:rPr>
          <w:rFonts w:ascii="仿宋_GB2312" w:eastAsia="仿宋_GB2312" w:cs="仿宋_GB2312"/>
          <w:sz w:val="32"/>
          <w:szCs w:val="32"/>
        </w:rPr>
        <w:t>。</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公务用车运行支出</w:t>
      </w:r>
      <w:r>
        <w:rPr>
          <w:rFonts w:ascii="仿宋_GB2312" w:eastAsia="仿宋_GB2312" w:cs="仿宋_GB2312"/>
          <w:sz w:val="32"/>
          <w:szCs w:val="32"/>
          <w:lang w:val="zh-CN"/>
        </w:rPr>
        <w:t>0.82</w:t>
      </w:r>
      <w:r>
        <w:rPr>
          <w:rFonts w:ascii="仿宋_GB2312" w:eastAsia="仿宋_GB2312" w:cs="仿宋_GB2312"/>
          <w:sz w:val="32"/>
          <w:szCs w:val="32"/>
        </w:rPr>
        <w:t>万元，完成年初预算的</w:t>
      </w:r>
      <w:r>
        <w:rPr>
          <w:rFonts w:ascii="仿宋_GB2312" w:eastAsia="仿宋_GB2312" w:cs="仿宋_GB2312"/>
          <w:sz w:val="32"/>
          <w:szCs w:val="32"/>
          <w:lang w:val="zh-CN"/>
        </w:rPr>
        <w:t>100</w:t>
      </w:r>
      <w:r>
        <w:rPr>
          <w:rFonts w:ascii="仿宋_GB2312" w:eastAsia="仿宋_GB2312" w:cs="仿宋_GB2312"/>
          <w:sz w:val="32"/>
          <w:szCs w:val="32"/>
        </w:rPr>
        <w:t>%，比上年减少</w:t>
      </w:r>
      <w:r>
        <w:rPr>
          <w:rFonts w:ascii="仿宋_GB2312" w:eastAsia="仿宋_GB2312" w:cs="仿宋_GB2312"/>
          <w:sz w:val="32"/>
          <w:szCs w:val="32"/>
          <w:lang w:val="zh-CN"/>
        </w:rPr>
        <w:t>0.72</w:t>
      </w:r>
      <w:r>
        <w:rPr>
          <w:rFonts w:ascii="仿宋_GB2312" w:eastAsia="仿宋_GB2312" w:cs="仿宋_GB2312"/>
          <w:sz w:val="32"/>
          <w:szCs w:val="32"/>
        </w:rPr>
        <w:t>万元，原因是</w:t>
      </w:r>
      <w:r>
        <w:rPr>
          <w:rFonts w:ascii="仿宋_GB2312" w:eastAsia="仿宋_GB2312" w:cs="仿宋_GB2312"/>
          <w:sz w:val="32"/>
          <w:szCs w:val="32"/>
          <w:lang w:val="zh-CN"/>
        </w:rPr>
        <w:t>财政压减公用用车运行维护费</w:t>
      </w:r>
      <w:r>
        <w:rPr>
          <w:rFonts w:ascii="仿宋_GB2312" w:eastAsia="仿宋_GB2312" w:cs="仿宋_GB2312"/>
          <w:sz w:val="32"/>
          <w:szCs w:val="32"/>
        </w:rPr>
        <w:t>。主要</w:t>
      </w:r>
      <w:r>
        <w:rPr>
          <w:rFonts w:ascii="仿宋_GB2312" w:eastAsia="仿宋_GB2312" w:cs="仿宋_GB2312"/>
          <w:bCs/>
          <w:sz w:val="32"/>
          <w:szCs w:val="32"/>
        </w:rPr>
        <w:t>用于特困人员看病就医用车支出及</w:t>
      </w:r>
      <w:r>
        <w:rPr>
          <w:rFonts w:ascii="仿宋_GB2312" w:eastAsia="仿宋_GB2312" w:cs="仿宋_GB2312"/>
          <w:sz w:val="32"/>
          <w:szCs w:val="32"/>
        </w:rPr>
        <w:t>开展业务所需车辆燃料费、维修费、过路过桥费、保险费等。2021年，</w:t>
      </w:r>
      <w:r>
        <w:rPr>
          <w:rFonts w:hint="eastAsia" w:ascii="仿宋_GB2312" w:hAnsi="黑体" w:eastAsia="仿宋_GB2312"/>
          <w:bCs/>
          <w:color w:val="000000"/>
          <w:sz w:val="32"/>
          <w:szCs w:val="32"/>
        </w:rPr>
        <w:t>柳州市社会福利院0个所属单位开支财政拨款的公务用车保有量为</w:t>
      </w:r>
      <w:r>
        <w:rPr>
          <w:rFonts w:ascii="仿宋_GB2312" w:hAnsi="黑体" w:eastAsia="仿宋_GB2312"/>
          <w:bCs/>
          <w:color w:val="000000"/>
          <w:sz w:val="32"/>
          <w:szCs w:val="32"/>
          <w:lang w:val="zh-CN"/>
        </w:rPr>
        <w:t>2</w:t>
      </w:r>
      <w:r>
        <w:rPr>
          <w:rFonts w:ascii="仿宋_GB2312" w:hAnsi="黑体" w:eastAsia="仿宋_GB2312"/>
          <w:bCs/>
          <w:color w:val="000000"/>
          <w:sz w:val="32"/>
          <w:szCs w:val="32"/>
        </w:rPr>
        <w:t>辆</w:t>
      </w:r>
      <w:r>
        <w:rPr>
          <w:rFonts w:hint="eastAsia" w:ascii="仿宋_GB2312" w:hAnsi="黑体" w:eastAsia="仿宋_GB2312"/>
          <w:b/>
          <w:color w:val="000000"/>
          <w:sz w:val="32"/>
          <w:szCs w:val="32"/>
        </w:rPr>
        <w:t>，</w:t>
      </w:r>
      <w:r>
        <w:rPr>
          <w:rFonts w:hint="eastAsia" w:ascii="仿宋_GB2312" w:hAnsi="黑体" w:eastAsia="仿宋_GB2312"/>
          <w:bCs/>
          <w:color w:val="000000"/>
          <w:sz w:val="32"/>
          <w:szCs w:val="32"/>
        </w:rPr>
        <w:t>全年运行费支出</w:t>
      </w:r>
      <w:r>
        <w:rPr>
          <w:rFonts w:ascii="仿宋_GB2312" w:hAnsi="黑体" w:eastAsia="仿宋_GB2312"/>
          <w:bCs/>
          <w:color w:val="000000"/>
          <w:sz w:val="32"/>
          <w:szCs w:val="32"/>
          <w:lang w:val="zh-CN"/>
        </w:rPr>
        <w:t>0.82</w:t>
      </w:r>
      <w:r>
        <w:rPr>
          <w:rFonts w:ascii="仿宋_GB2312" w:hAnsi="黑体" w:eastAsia="仿宋_GB2312"/>
          <w:bCs/>
          <w:color w:val="000000"/>
          <w:sz w:val="32"/>
          <w:szCs w:val="32"/>
        </w:rPr>
        <w:t>万元，平均每辆</w:t>
      </w:r>
      <w:r>
        <w:rPr>
          <w:rFonts w:ascii="仿宋_GB2312" w:hAnsi="黑体" w:eastAsia="仿宋_GB2312"/>
          <w:bCs/>
          <w:color w:val="000000"/>
          <w:sz w:val="32"/>
          <w:szCs w:val="32"/>
          <w:lang w:val="zh-CN"/>
        </w:rPr>
        <w:t>0.41</w:t>
      </w:r>
      <w:r>
        <w:rPr>
          <w:rFonts w:ascii="仿宋_GB2312" w:hAnsi="黑体" w:eastAsia="仿宋_GB2312"/>
          <w:bCs/>
          <w:color w:val="000000"/>
          <w:sz w:val="32"/>
          <w:szCs w:val="32"/>
        </w:rPr>
        <w:t>万元。</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（三）公务接待费支出</w:t>
      </w:r>
      <w:r>
        <w:rPr>
          <w:rFonts w:ascii="仿宋_GB2312" w:eastAsia="仿宋_GB2312" w:cs="仿宋_GB2312"/>
          <w:sz w:val="32"/>
          <w:szCs w:val="32"/>
          <w:lang w:val="zh-CN"/>
        </w:rPr>
        <w:t>0.25</w:t>
      </w:r>
      <w:r>
        <w:rPr>
          <w:rFonts w:ascii="仿宋_GB2312" w:eastAsia="仿宋_GB2312" w:cs="仿宋_GB2312"/>
          <w:sz w:val="32"/>
          <w:szCs w:val="32"/>
        </w:rPr>
        <w:t>万元，完成年初预算的</w:t>
      </w:r>
      <w:r>
        <w:rPr>
          <w:rFonts w:ascii="仿宋_GB2312" w:eastAsia="仿宋_GB2312" w:cs="仿宋_GB2312"/>
          <w:sz w:val="32"/>
          <w:szCs w:val="32"/>
          <w:lang w:val="zh-CN"/>
        </w:rPr>
        <w:t>100</w:t>
      </w:r>
      <w:r>
        <w:rPr>
          <w:rFonts w:ascii="仿宋_GB2312" w:eastAsia="仿宋_GB2312" w:cs="仿宋_GB2312"/>
          <w:sz w:val="32"/>
          <w:szCs w:val="32"/>
        </w:rPr>
        <w:t>%， 比上年增加</w:t>
      </w:r>
      <w:r>
        <w:rPr>
          <w:rFonts w:ascii="仿宋_GB2312" w:eastAsia="仿宋_GB2312" w:cs="仿宋_GB2312"/>
          <w:sz w:val="32"/>
          <w:szCs w:val="32"/>
          <w:lang w:val="zh-CN"/>
        </w:rPr>
        <w:t>0.03</w:t>
      </w:r>
      <w:r>
        <w:rPr>
          <w:rFonts w:ascii="仿宋_GB2312" w:eastAsia="仿宋_GB2312" w:cs="仿宋_GB2312"/>
          <w:sz w:val="32"/>
          <w:szCs w:val="32"/>
        </w:rPr>
        <w:t>万元，原因是本单位创建全国四星级养老福利机构，接待来单位指导的评审专家。国内公务接待批次</w:t>
      </w:r>
      <w:r>
        <w:rPr>
          <w:rFonts w:ascii="仿宋_GB2312" w:eastAsia="仿宋_GB2312" w:cs="仿宋_GB2312"/>
          <w:sz w:val="32"/>
          <w:szCs w:val="32"/>
          <w:lang w:val="zh-CN"/>
        </w:rPr>
        <w:t>2</w:t>
      </w:r>
      <w:r>
        <w:rPr>
          <w:rFonts w:ascii="仿宋_GB2312" w:eastAsia="仿宋_GB2312" w:cs="仿宋_GB2312"/>
          <w:sz w:val="32"/>
          <w:szCs w:val="32"/>
        </w:rPr>
        <w:t>次，</w:t>
      </w:r>
      <w:r>
        <w:rPr>
          <w:rFonts w:hint="eastAsia" w:ascii="仿宋_GB2312" w:eastAsia="仿宋_GB2312" w:cs="仿宋_GB2312"/>
          <w:sz w:val="32"/>
          <w:szCs w:val="32"/>
        </w:rPr>
        <w:t>人次</w:t>
      </w:r>
      <w:r>
        <w:rPr>
          <w:rFonts w:ascii="仿宋_GB2312" w:eastAsia="仿宋_GB2312" w:cs="仿宋_GB2312"/>
          <w:sz w:val="32"/>
          <w:szCs w:val="32"/>
          <w:lang w:val="zh-CN"/>
        </w:rPr>
        <w:t>24</w:t>
      </w:r>
      <w:r>
        <w:rPr>
          <w:rFonts w:hint="eastAsia" w:ascii="仿宋_GB2312" w:eastAsia="仿宋_GB2312" w:cs="仿宋_GB2312"/>
          <w:sz w:val="32"/>
          <w:szCs w:val="32"/>
          <w:lang w:val="zh-CN"/>
        </w:rPr>
        <w:t>次</w:t>
      </w:r>
      <w:r>
        <w:rPr>
          <w:rFonts w:ascii="仿宋_GB2312" w:eastAsia="仿宋_GB2312" w:cs="仿宋_GB2312"/>
          <w:sz w:val="32"/>
          <w:szCs w:val="32"/>
        </w:rPr>
        <w:t>，国（境）外公务接待批次</w:t>
      </w:r>
      <w:r>
        <w:rPr>
          <w:rFonts w:ascii="仿宋_GB2312" w:eastAsia="仿宋_GB2312" w:cs="仿宋_GB2312"/>
          <w:sz w:val="32"/>
          <w:szCs w:val="32"/>
          <w:lang w:val="zh-CN"/>
        </w:rPr>
        <w:t>0</w:t>
      </w:r>
      <w:r>
        <w:rPr>
          <w:rFonts w:ascii="仿宋_GB2312" w:eastAsia="仿宋_GB2312" w:cs="仿宋_GB2312"/>
          <w:sz w:val="32"/>
          <w:szCs w:val="32"/>
        </w:rPr>
        <w:t>次，人次</w:t>
      </w:r>
      <w:r>
        <w:rPr>
          <w:rFonts w:ascii="仿宋_GB2312" w:eastAsia="仿宋_GB2312" w:cs="仿宋_GB2312"/>
          <w:sz w:val="32"/>
          <w:szCs w:val="32"/>
          <w:lang w:val="zh-CN"/>
        </w:rPr>
        <w:t>0</w:t>
      </w:r>
      <w:r>
        <w:rPr>
          <w:rFonts w:ascii="仿宋_GB2312" w:eastAsia="仿宋_GB2312" w:cs="仿宋_GB2312"/>
          <w:sz w:val="32"/>
          <w:szCs w:val="32"/>
        </w:rPr>
        <w:t xml:space="preserve"> </w:t>
      </w:r>
      <w:r>
        <w:rPr>
          <w:rFonts w:hint="eastAsia" w:ascii="仿宋_GB2312" w:eastAsia="仿宋_GB2312" w:cs="仿宋_GB2312"/>
          <w:sz w:val="32"/>
          <w:szCs w:val="32"/>
        </w:rPr>
        <w:t>次。</w:t>
      </w:r>
    </w:p>
    <w:p>
      <w:pPr>
        <w:spacing w:line="360" w:lineRule="auto"/>
        <w:ind w:firstLine="627"/>
        <w:rPr>
          <w:rFonts w:ascii="黑体" w:hAnsi="黑体" w:eastAsia="黑体" w:cs="仿宋_GB2312"/>
          <w:sz w:val="32"/>
          <w:szCs w:val="32"/>
        </w:rPr>
      </w:pPr>
      <w:r>
        <w:rPr>
          <w:rFonts w:hint="eastAsia" w:ascii="黑体" w:hAnsi="黑体" w:eastAsia="黑体" w:cs="仿宋_GB2312"/>
          <w:sz w:val="32"/>
          <w:szCs w:val="32"/>
        </w:rPr>
        <w:t>七、其他重要事项情况说明</w:t>
      </w:r>
    </w:p>
    <w:p>
      <w:pPr>
        <w:spacing w:line="360" w:lineRule="auto"/>
        <w:ind w:firstLine="640"/>
        <w:rPr>
          <w:rFonts w:ascii="楷体_GB2312" w:eastAsia="楷体_GB2312" w:cs="仿宋_GB2312"/>
          <w:sz w:val="32"/>
          <w:szCs w:val="32"/>
        </w:rPr>
      </w:pPr>
      <w:r>
        <w:rPr>
          <w:rFonts w:hint="eastAsia" w:ascii="楷体_GB2312" w:eastAsia="楷体_GB2312" w:cs="仿宋_GB2312"/>
          <w:sz w:val="32"/>
          <w:szCs w:val="32"/>
        </w:rPr>
        <w:t>（一）机关运行经费支出情况说明。</w:t>
      </w:r>
    </w:p>
    <w:p>
      <w:pPr>
        <w:spacing w:line="360" w:lineRule="auto"/>
        <w:ind w:firstLine="643"/>
        <w:rPr>
          <w:rFonts w:ascii="仿宋_GB2312" w:eastAsia="仿宋_GB2312" w:cs="仿宋_GB2312"/>
          <w:b/>
          <w:sz w:val="32"/>
          <w:szCs w:val="32"/>
        </w:rPr>
      </w:pPr>
      <w:r>
        <w:rPr>
          <w:rFonts w:hint="eastAsia" w:ascii="仿宋_GB2312" w:eastAsia="仿宋_GB2312" w:cs="仿宋_GB2312"/>
          <w:b/>
          <w:sz w:val="32"/>
          <w:szCs w:val="32"/>
        </w:rPr>
        <w:t>本单位无机关运行经费支出</w:t>
      </w:r>
      <w:r>
        <w:rPr>
          <w:rFonts w:ascii="仿宋_GB2312" w:eastAsia="仿宋_GB2312" w:cs="仿宋_GB2312"/>
          <w:b/>
          <w:sz w:val="32"/>
          <w:szCs w:val="32"/>
          <w:lang w:val="zh-CN"/>
        </w:rPr>
        <w:t>。</w:t>
      </w:r>
    </w:p>
    <w:p>
      <w:pPr>
        <w:spacing w:line="360" w:lineRule="auto"/>
        <w:ind w:firstLine="640"/>
        <w:rPr>
          <w:rFonts w:ascii="楷体_GB2312" w:eastAsia="楷体_GB2312" w:cs="仿宋_GB2312"/>
          <w:sz w:val="32"/>
          <w:szCs w:val="32"/>
        </w:rPr>
      </w:pPr>
      <w:r>
        <w:rPr>
          <w:rFonts w:hint="eastAsia" w:ascii="楷体_GB2312" w:eastAsia="楷体_GB2312" w:cs="仿宋_GB2312"/>
          <w:sz w:val="32"/>
          <w:szCs w:val="32"/>
        </w:rPr>
        <w:t>（二）政府采购支出情况说明。</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本单位2021年度政府采购支出总额</w:t>
      </w:r>
      <w:r>
        <w:rPr>
          <w:rFonts w:ascii="仿宋_GB2312" w:eastAsia="仿宋_GB2312" w:cs="仿宋_GB2312"/>
          <w:sz w:val="32"/>
          <w:szCs w:val="32"/>
          <w:lang w:val="zh-CN"/>
        </w:rPr>
        <w:t>303.8</w:t>
      </w:r>
      <w:r>
        <w:rPr>
          <w:rFonts w:ascii="仿宋_GB2312" w:eastAsia="仿宋_GB2312" w:cs="仿宋_GB2312"/>
          <w:sz w:val="32"/>
          <w:szCs w:val="32"/>
        </w:rPr>
        <w:t>万元，其中：政府采购货物支出</w:t>
      </w:r>
      <w:r>
        <w:rPr>
          <w:rFonts w:ascii="仿宋_GB2312" w:eastAsia="仿宋_GB2312" w:cs="仿宋_GB2312"/>
          <w:sz w:val="32"/>
          <w:szCs w:val="32"/>
          <w:lang w:val="zh-CN"/>
        </w:rPr>
        <w:t>118.77</w:t>
      </w:r>
      <w:r>
        <w:rPr>
          <w:rFonts w:ascii="仿宋_GB2312" w:eastAsia="仿宋_GB2312" w:cs="仿宋_GB2312"/>
          <w:sz w:val="32"/>
          <w:szCs w:val="32"/>
        </w:rPr>
        <w:t>万元、政府采购工程支出</w:t>
      </w:r>
      <w:r>
        <w:rPr>
          <w:rFonts w:ascii="仿宋_GB2312" w:eastAsia="仿宋_GB2312" w:cs="仿宋_GB2312"/>
          <w:sz w:val="32"/>
          <w:szCs w:val="32"/>
          <w:lang w:val="zh-CN"/>
        </w:rPr>
        <w:t>89.63</w:t>
      </w:r>
      <w:r>
        <w:rPr>
          <w:rFonts w:ascii="仿宋_GB2312" w:eastAsia="仿宋_GB2312" w:cs="仿宋_GB2312"/>
          <w:sz w:val="32"/>
          <w:szCs w:val="32"/>
        </w:rPr>
        <w:t>万元、政府采购服务支出</w:t>
      </w:r>
      <w:r>
        <w:rPr>
          <w:rFonts w:ascii="仿宋_GB2312" w:eastAsia="仿宋_GB2312" w:cs="仿宋_GB2312"/>
          <w:sz w:val="32"/>
          <w:szCs w:val="32"/>
          <w:lang w:val="zh-CN"/>
        </w:rPr>
        <w:t>95.41</w:t>
      </w:r>
      <w:r>
        <w:rPr>
          <w:rFonts w:ascii="仿宋_GB2312" w:eastAsia="仿宋_GB2312" w:cs="仿宋_GB2312"/>
          <w:sz w:val="32"/>
          <w:szCs w:val="32"/>
        </w:rPr>
        <w:t>万元，</w:t>
      </w:r>
      <w:r>
        <w:rPr>
          <w:rFonts w:hint="eastAsia" w:ascii="仿宋_GB2312" w:eastAsia="仿宋_GB2312" w:cs="仿宋_GB2312"/>
          <w:sz w:val="32"/>
          <w:szCs w:val="32"/>
        </w:rPr>
        <w:t>授予中小企业合同金额</w:t>
      </w:r>
      <w:r>
        <w:rPr>
          <w:rFonts w:ascii="仿宋_GB2312" w:eastAsia="仿宋_GB2312" w:cs="仿宋_GB2312"/>
          <w:sz w:val="32"/>
          <w:szCs w:val="32"/>
        </w:rPr>
        <w:t>95.41万元，占政府采购支出总额的</w:t>
      </w:r>
      <w:r>
        <w:rPr>
          <w:rFonts w:ascii="仿宋_GB2312" w:eastAsia="仿宋_GB2312" w:cs="仿宋_GB2312"/>
          <w:sz w:val="32"/>
          <w:szCs w:val="32"/>
          <w:lang w:val="zh-CN"/>
        </w:rPr>
        <w:t>31.4</w:t>
      </w:r>
      <w:r>
        <w:rPr>
          <w:rFonts w:ascii="仿宋_GB2312" w:eastAsia="仿宋_GB2312" w:cs="仿宋_GB2312"/>
          <w:sz w:val="32"/>
          <w:szCs w:val="32"/>
        </w:rPr>
        <w:t>%，其中：授予小微企业合同金额</w:t>
      </w:r>
      <w:r>
        <w:rPr>
          <w:rFonts w:ascii="仿宋_GB2312" w:eastAsia="仿宋_GB2312" w:cs="仿宋_GB2312"/>
          <w:sz w:val="32"/>
          <w:szCs w:val="32"/>
          <w:lang w:val="zh-CN"/>
        </w:rPr>
        <w:t>0</w:t>
      </w:r>
      <w:r>
        <w:rPr>
          <w:rFonts w:ascii="仿宋_GB2312" w:eastAsia="仿宋_GB2312" w:cs="仿宋_GB2312"/>
          <w:sz w:val="32"/>
          <w:szCs w:val="32"/>
        </w:rPr>
        <w:t>万元，占政府采购支出总额的</w:t>
      </w:r>
      <w:r>
        <w:rPr>
          <w:rFonts w:ascii="仿宋_GB2312" w:eastAsia="仿宋_GB2312" w:cs="仿宋_GB2312"/>
          <w:sz w:val="32"/>
          <w:szCs w:val="32"/>
          <w:lang w:val="zh-CN"/>
        </w:rPr>
        <w:t>0</w:t>
      </w:r>
      <w:r>
        <w:rPr>
          <w:rFonts w:ascii="仿宋_GB2312" w:eastAsia="仿宋_GB2312" w:cs="仿宋_GB2312"/>
          <w:sz w:val="32"/>
          <w:szCs w:val="32"/>
        </w:rPr>
        <w:t>%。</w:t>
      </w:r>
    </w:p>
    <w:p>
      <w:pPr>
        <w:spacing w:line="360" w:lineRule="auto"/>
        <w:ind w:firstLine="640"/>
        <w:rPr>
          <w:rFonts w:ascii="楷体_GB2312" w:eastAsia="楷体_GB2312" w:cs="仿宋_GB2312"/>
          <w:sz w:val="32"/>
          <w:szCs w:val="32"/>
        </w:rPr>
      </w:pPr>
      <w:r>
        <w:rPr>
          <w:rFonts w:hint="eastAsia" w:ascii="楷体_GB2312" w:eastAsia="楷体_GB2312" w:cs="仿宋_GB2312"/>
          <w:sz w:val="32"/>
          <w:szCs w:val="32"/>
        </w:rPr>
        <w:t>（三）国有资产占用情况说明。</w:t>
      </w:r>
    </w:p>
    <w:p>
      <w:pPr>
        <w:spacing w:line="360" w:lineRule="auto"/>
        <w:ind w:firstLine="627"/>
        <w:rPr>
          <w:rFonts w:ascii="仿宋_GB2312" w:eastAsia="仿宋_GB2312" w:cs="仿宋_GB2312"/>
          <w:sz w:val="32"/>
          <w:szCs w:val="32"/>
        </w:rPr>
      </w:pPr>
      <w:r>
        <w:rPr>
          <w:rFonts w:hint="eastAsia" w:ascii="仿宋_GB2312" w:eastAsia="仿宋_GB2312" w:cs="仿宋_GB2312"/>
          <w:sz w:val="32"/>
          <w:szCs w:val="32"/>
        </w:rPr>
        <w:t>截至2021年12月31日，本单位共有车辆</w:t>
      </w:r>
      <w:r>
        <w:rPr>
          <w:rFonts w:ascii="仿宋_GB2312" w:eastAsia="仿宋_GB2312" w:cs="仿宋_GB2312"/>
          <w:sz w:val="32"/>
          <w:szCs w:val="32"/>
          <w:lang w:val="zh-CN"/>
        </w:rPr>
        <w:t>2</w:t>
      </w:r>
      <w:r>
        <w:rPr>
          <w:rFonts w:ascii="仿宋_GB2312" w:eastAsia="仿宋_GB2312" w:cs="仿宋_GB2312"/>
          <w:sz w:val="32"/>
          <w:szCs w:val="32"/>
        </w:rPr>
        <w:t>辆，其中：</w:t>
      </w:r>
      <w:r>
        <w:rPr>
          <w:rFonts w:hint="eastAsia" w:ascii="仿宋_GB2312" w:eastAsia="仿宋_GB2312" w:cs="仿宋_GB2312"/>
          <w:sz w:val="32"/>
          <w:szCs w:val="32"/>
        </w:rPr>
        <w:t>公务用车0辆；执法执勤用车0辆；专业技术用车0辆；</w:t>
      </w:r>
      <w:r>
        <w:rPr>
          <w:rFonts w:ascii="仿宋_GB2312" w:eastAsia="仿宋_GB2312" w:cs="仿宋_GB2312"/>
          <w:sz w:val="32"/>
          <w:szCs w:val="32"/>
        </w:rPr>
        <w:t>其他用车</w:t>
      </w:r>
      <w:r>
        <w:rPr>
          <w:rFonts w:ascii="仿宋_GB2312" w:eastAsia="仿宋_GB2312" w:cs="仿宋_GB2312"/>
          <w:sz w:val="32"/>
          <w:szCs w:val="32"/>
          <w:lang w:val="zh-CN"/>
        </w:rPr>
        <w:t>2</w:t>
      </w:r>
      <w:r>
        <w:rPr>
          <w:rFonts w:ascii="仿宋_GB2312" w:eastAsia="仿宋_GB2312" w:cs="仿宋_GB2312"/>
          <w:sz w:val="32"/>
          <w:szCs w:val="32"/>
        </w:rPr>
        <w:t>辆，其他用车主要是用于接送供养人员就医；单价50万元 以上通用设备</w:t>
      </w:r>
      <w:r>
        <w:rPr>
          <w:rFonts w:ascii="仿宋_GB2312" w:eastAsia="仿宋_GB2312" w:cs="仿宋_GB2312"/>
          <w:sz w:val="32"/>
          <w:szCs w:val="32"/>
          <w:lang w:val="zh-CN"/>
        </w:rPr>
        <w:t>0</w:t>
      </w:r>
      <w:r>
        <w:rPr>
          <w:rFonts w:ascii="仿宋_GB2312" w:eastAsia="仿宋_GB2312" w:cs="仿宋_GB2312"/>
          <w:sz w:val="32"/>
          <w:szCs w:val="32"/>
        </w:rPr>
        <w:t>台（套），单价100 万元以上专用设备</w:t>
      </w:r>
      <w:r>
        <w:rPr>
          <w:rFonts w:ascii="仿宋_GB2312" w:eastAsia="仿宋_GB2312" w:cs="仿宋_GB2312"/>
          <w:sz w:val="32"/>
          <w:szCs w:val="32"/>
          <w:lang w:val="zh-CN"/>
        </w:rPr>
        <w:t>0</w:t>
      </w:r>
      <w:r>
        <w:rPr>
          <w:rFonts w:ascii="仿宋_GB2312" w:eastAsia="仿宋_GB2312" w:cs="仿宋_GB2312"/>
          <w:sz w:val="32"/>
          <w:szCs w:val="32"/>
        </w:rPr>
        <w:t xml:space="preserve">台（套）。 </w:t>
      </w:r>
    </w:p>
    <w:p>
      <w:pPr>
        <w:spacing w:line="360" w:lineRule="auto"/>
        <w:ind w:firstLine="640"/>
        <w:rPr>
          <w:rFonts w:ascii="楷体_GB2312" w:eastAsia="楷体_GB2312" w:cs="仿宋_GB2312"/>
          <w:sz w:val="32"/>
          <w:szCs w:val="32"/>
        </w:rPr>
      </w:pPr>
      <w:r>
        <w:rPr>
          <w:rFonts w:hint="eastAsia" w:ascii="楷体_GB2312" w:eastAsia="楷体_GB2312" w:cs="仿宋_GB2312"/>
          <w:sz w:val="32"/>
          <w:szCs w:val="32"/>
        </w:rPr>
        <w:t>（四）预算绩效管理工作开展情况。</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1.绩效管理工作开展情况。</w:t>
      </w:r>
    </w:p>
    <w:p>
      <w:pPr>
        <w:spacing w:line="360" w:lineRule="auto"/>
        <w:ind w:firstLine="640"/>
        <w:rPr>
          <w:rFonts w:ascii="仿宋_GB2312" w:eastAsia="仿宋_GB2312" w:cs="仿宋_GB2312"/>
          <w:sz w:val="32"/>
          <w:szCs w:val="32"/>
        </w:rPr>
      </w:pPr>
      <w:r>
        <w:rPr>
          <w:rFonts w:hint="eastAsia" w:ascii="仿宋_GB2312" w:eastAsia="仿宋_GB2312" w:cs="仿宋_GB2312"/>
          <w:sz w:val="32"/>
          <w:szCs w:val="32"/>
        </w:rPr>
        <w:t>根据财政预算管理要求，组织对柳州市社会福利院开展整体支出绩效评价试点，涉及一般公共预算支出</w:t>
      </w:r>
      <w:r>
        <w:rPr>
          <w:rFonts w:ascii="仿宋_GB2312" w:eastAsia="仿宋_GB2312" w:cs="仿宋_GB2312"/>
          <w:sz w:val="32"/>
          <w:szCs w:val="32"/>
        </w:rPr>
        <w:t>1558.38万元，政府性基金预算支出291.08万元。为确保绩效工作落实到位，更好为集中供养人员服务，根据市民政局工作安排、明确分工，主要分三步开展绩效管理工作。（一）前期准备。压实责任，要求涉及绩效管理工作的</w:t>
      </w:r>
      <w:bookmarkStart w:id="0" w:name="_GoBack"/>
      <w:bookmarkEnd w:id="0"/>
      <w:r>
        <w:rPr>
          <w:rFonts w:ascii="仿宋_GB2312" w:eastAsia="仿宋_GB2312" w:cs="仿宋_GB2312"/>
          <w:sz w:val="32"/>
          <w:szCs w:val="32"/>
        </w:rPr>
        <w:t>科室开展自查自评。（二）组织过程。根据各科室自查情况，要求提交相关说明材料及照片等证明材料，确保自评工作扎实开展。（三）分析评价。根据《整体支出绩效目标申报表》及《整体支出绩效自评表》，组织各科负责人对自评结论进行研究，确保实事求是，总结经验。</w:t>
      </w:r>
    </w:p>
    <w:p>
      <w:pPr>
        <w:spacing w:line="360" w:lineRule="auto"/>
        <w:ind w:firstLine="640"/>
        <w:rPr>
          <w:rFonts w:ascii="仿宋_GB2312" w:eastAsia="仿宋_GB2312" w:cs="仿宋_GB2312"/>
          <w:sz w:val="32"/>
          <w:szCs w:val="32"/>
        </w:rPr>
      </w:pPr>
      <w:r>
        <w:rPr>
          <w:rFonts w:ascii="仿宋_GB2312" w:eastAsia="仿宋_GB2312" w:cs="仿宋_GB2312"/>
          <w:sz w:val="32"/>
          <w:szCs w:val="32"/>
        </w:rPr>
        <w:t>从评价情况来看，我院认为，2021年度的预算绩效目标设置较为科学、实施过程规范并取得了良好的效益，自我评价为97分。</w:t>
      </w:r>
    </w:p>
    <w:p>
      <w:pPr>
        <w:spacing w:line="360" w:lineRule="auto"/>
        <w:ind w:firstLine="627"/>
        <w:rPr>
          <w:rFonts w:ascii="仿宋_GB2312" w:eastAsia="仿宋_GB2312" w:cs="仿宋_GB2312"/>
          <w:sz w:val="32"/>
          <w:szCs w:val="32"/>
        </w:rPr>
      </w:pPr>
    </w:p>
    <w:p>
      <w:pPr>
        <w:spacing w:line="360" w:lineRule="auto"/>
        <w:ind w:firstLine="645"/>
        <w:jc w:val="center"/>
        <w:rPr>
          <w:rFonts w:ascii="仿宋_GB2312" w:eastAsia="仿宋_GB2312"/>
          <w:b/>
          <w:sz w:val="32"/>
          <w:szCs w:val="32"/>
        </w:rPr>
      </w:pPr>
      <w:r>
        <w:rPr>
          <w:rFonts w:hint="eastAsia" w:ascii="仿宋_GB2312" w:eastAsia="仿宋_GB2312"/>
          <w:b/>
          <w:sz w:val="32"/>
          <w:szCs w:val="32"/>
        </w:rPr>
        <w:t>第四部分：名词解释</w:t>
      </w:r>
    </w:p>
    <w:p>
      <w:pPr>
        <w:spacing w:line="360" w:lineRule="auto"/>
        <w:ind w:firstLine="640"/>
        <w:rPr>
          <w:rFonts w:ascii="仿宋_GB2312" w:eastAsia="仿宋_GB2312"/>
          <w:sz w:val="32"/>
          <w:szCs w:val="32"/>
        </w:rPr>
      </w:pPr>
      <w:r>
        <w:rPr>
          <w:rFonts w:hint="eastAsia" w:ascii="仿宋_GB2312" w:eastAsia="仿宋_GB2312"/>
          <w:sz w:val="32"/>
          <w:szCs w:val="32"/>
        </w:rPr>
        <w:t xml:space="preserve">一、财政拨款收入：指柳州市财政部门当年拨付的资金。 </w:t>
      </w:r>
    </w:p>
    <w:p>
      <w:pPr>
        <w:spacing w:line="360" w:lineRule="auto"/>
        <w:ind w:firstLine="64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spacing w:line="360" w:lineRule="auto"/>
        <w:ind w:firstLine="64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spacing w:line="360" w:lineRule="auto"/>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spacing w:line="360" w:lineRule="auto"/>
        <w:ind w:firstLine="64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spacing w:line="360" w:lineRule="auto"/>
        <w:ind w:firstLine="64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spacing w:line="360" w:lineRule="auto"/>
        <w:ind w:firstLine="64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spacing w:line="360" w:lineRule="auto"/>
        <w:ind w:firstLine="64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spacing w:line="360" w:lineRule="auto"/>
        <w:ind w:firstLine="64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spacing w:line="360" w:lineRule="auto"/>
        <w:ind w:firstLine="64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spacing w:line="360" w:lineRule="auto"/>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spacing w:line="360" w:lineRule="auto"/>
        <w:ind w:firstLine="640"/>
        <w:rPr>
          <w:rFonts w:ascii="仿宋_GB2312" w:eastAsia="仿宋_GB2312"/>
          <w:sz w:val="32"/>
          <w:szCs w:val="32"/>
        </w:rPr>
      </w:pPr>
      <w:r>
        <w:rPr>
          <w:rFonts w:hint="eastAsia" w:ascii="仿宋_GB2312" w:eastAsia="仿宋_GB2312"/>
          <w:sz w:val="32"/>
          <w:szCs w:val="32"/>
        </w:rPr>
        <w:t xml:space="preserve">十二、“三公”经费：纳入柳州市财政预决算管理的“三公”经费，是指柳州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360" w:lineRule="auto"/>
        <w:ind w:firstLine="640"/>
        <w:rPr>
          <w:rFonts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footerReference r:id="rId4" w:type="default"/>
      <w:footerReference r:id="rId5" w:type="even"/>
      <w:pgSz w:w="11906" w:h="16838"/>
      <w:pgMar w:top="1440" w:right="1797" w:bottom="1361" w:left="1797"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23"/>
        <w:sz w:val="30"/>
        <w:szCs w:val="30"/>
      </w:rPr>
    </w:pPr>
    <w:r>
      <w:rPr>
        <w:sz w:val="30"/>
        <w:szCs w:val="30"/>
      </w:rPr>
      <w:fldChar w:fldCharType="begin"/>
    </w:r>
    <w:r>
      <w:rPr>
        <w:rStyle w:val="23"/>
        <w:sz w:val="30"/>
        <w:szCs w:val="30"/>
      </w:rPr>
      <w:instrText xml:space="preserve">PAGE  </w:instrText>
    </w:r>
    <w:r>
      <w:rPr>
        <w:sz w:val="30"/>
        <w:szCs w:val="30"/>
      </w:rPr>
      <w:fldChar w:fldCharType="separate"/>
    </w:r>
    <w:r>
      <w:rPr>
        <w:rStyle w:val="23"/>
        <w:sz w:val="30"/>
        <w:szCs w:val="30"/>
      </w:rPr>
      <w:t>10</w:t>
    </w:r>
    <w:r>
      <w:rPr>
        <w:sz w:val="30"/>
        <w:szCs w:val="30"/>
      </w:rPr>
      <w:fldChar w:fldCharType="end"/>
    </w:r>
  </w:p>
  <w:p>
    <w:pPr>
      <w:pStyle w:val="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23"/>
      </w:rPr>
    </w:pPr>
    <w:r>
      <w:fldChar w:fldCharType="begin"/>
    </w:r>
    <w:r>
      <w:rPr>
        <w:rStyle w:val="23"/>
      </w:rPr>
      <w:instrText xml:space="preserve">PAGE  </w:instrText>
    </w:r>
    <w:r>
      <w:fldChar w:fldCharType="end"/>
    </w:r>
  </w:p>
  <w:p>
    <w:pPr>
      <w:pStyle w:val="5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DhjNDNkODRjZTUyODY5NDBlZDQxOWMwN2RjODhiODIifQ=="/>
  </w:docVars>
  <w:rsids>
    <w:rsidRoot w:val="00E3013E"/>
    <w:rsid w:val="00002931"/>
    <w:rsid w:val="000A4CF7"/>
    <w:rsid w:val="001F02C2"/>
    <w:rsid w:val="002E6BC2"/>
    <w:rsid w:val="004103D9"/>
    <w:rsid w:val="00445778"/>
    <w:rsid w:val="0045658A"/>
    <w:rsid w:val="00507B2C"/>
    <w:rsid w:val="005C49E1"/>
    <w:rsid w:val="00651EDE"/>
    <w:rsid w:val="00736DCF"/>
    <w:rsid w:val="00852129"/>
    <w:rsid w:val="008D752D"/>
    <w:rsid w:val="00956952"/>
    <w:rsid w:val="009C3725"/>
    <w:rsid w:val="009D40AB"/>
    <w:rsid w:val="00A62283"/>
    <w:rsid w:val="00B765B6"/>
    <w:rsid w:val="00CA166F"/>
    <w:rsid w:val="00CB77FD"/>
    <w:rsid w:val="00DE6479"/>
    <w:rsid w:val="00E012B7"/>
    <w:rsid w:val="00E3013E"/>
    <w:rsid w:val="00EF6EFE"/>
    <w:rsid w:val="00F33A85"/>
    <w:rsid w:val="00FF4318"/>
    <w:rsid w:val="188E34D8"/>
    <w:rsid w:val="35EF4295"/>
    <w:rsid w:val="36BD7D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4"/>
      <w:lang w:val="en-US" w:eastAsia="zh-CN" w:bidi="ar-SA"/>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uiPriority w:val="39"/>
    <w:pPr>
      <w:spacing w:after="57"/>
      <w:ind w:left="1701"/>
    </w:pPr>
  </w:style>
  <w:style w:type="paragraph" w:styleId="3">
    <w:name w:val="toc 5"/>
    <w:basedOn w:val="1"/>
    <w:next w:val="1"/>
    <w:unhideWhenUsed/>
    <w:uiPriority w:val="39"/>
    <w:pPr>
      <w:spacing w:after="57"/>
      <w:ind w:left="1134"/>
    </w:pPr>
  </w:style>
  <w:style w:type="paragraph" w:styleId="4">
    <w:name w:val="toc 3"/>
    <w:basedOn w:val="1"/>
    <w:next w:val="1"/>
    <w:unhideWhenUsed/>
    <w:uiPriority w:val="39"/>
    <w:pPr>
      <w:spacing w:after="57"/>
      <w:ind w:left="567"/>
    </w:pPr>
  </w:style>
  <w:style w:type="paragraph" w:styleId="5">
    <w:name w:val="toc 8"/>
    <w:basedOn w:val="1"/>
    <w:next w:val="1"/>
    <w:unhideWhenUsed/>
    <w:uiPriority w:val="39"/>
    <w:pPr>
      <w:spacing w:after="57"/>
      <w:ind w:left="1984"/>
    </w:pPr>
  </w:style>
  <w:style w:type="paragraph" w:styleId="6">
    <w:name w:val="endnote text"/>
    <w:basedOn w:val="1"/>
    <w:link w:val="184"/>
    <w:semiHidden/>
    <w:unhideWhenUsed/>
    <w:uiPriority w:val="99"/>
    <w:rPr>
      <w:sz w:val="20"/>
    </w:rPr>
  </w:style>
  <w:style w:type="paragraph" w:styleId="7">
    <w:name w:val="Balloon Text"/>
    <w:basedOn w:val="1"/>
    <w:link w:val="186"/>
    <w:qFormat/>
    <w:uiPriority w:val="0"/>
    <w:rPr>
      <w:sz w:val="18"/>
      <w:szCs w:val="18"/>
    </w:rPr>
  </w:style>
  <w:style w:type="paragraph" w:styleId="8">
    <w:name w:val="footer"/>
    <w:basedOn w:val="1"/>
    <w:link w:val="191"/>
    <w:semiHidden/>
    <w:unhideWhenUsed/>
    <w:uiPriority w:val="99"/>
    <w:pPr>
      <w:tabs>
        <w:tab w:val="center" w:pos="4153"/>
        <w:tab w:val="right" w:pos="8306"/>
      </w:tabs>
      <w:snapToGrid w:val="0"/>
      <w:jc w:val="left"/>
    </w:pPr>
    <w:rPr>
      <w:sz w:val="18"/>
      <w:szCs w:val="18"/>
    </w:rPr>
  </w:style>
  <w:style w:type="paragraph" w:styleId="9">
    <w:name w:val="header"/>
    <w:basedOn w:val="1"/>
    <w:link w:val="190"/>
    <w:semiHidden/>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spacing w:after="57"/>
    </w:pPr>
  </w:style>
  <w:style w:type="paragraph" w:styleId="11">
    <w:name w:val="toc 4"/>
    <w:basedOn w:val="1"/>
    <w:next w:val="1"/>
    <w:unhideWhenUsed/>
    <w:uiPriority w:val="39"/>
    <w:pPr>
      <w:spacing w:after="57"/>
      <w:ind w:left="850"/>
    </w:pPr>
  </w:style>
  <w:style w:type="paragraph" w:styleId="12">
    <w:name w:val="Subtitle"/>
    <w:basedOn w:val="1"/>
    <w:next w:val="1"/>
    <w:link w:val="47"/>
    <w:qFormat/>
    <w:uiPriority w:val="11"/>
    <w:pPr>
      <w:spacing w:before="200" w:after="200"/>
    </w:pPr>
    <w:rPr>
      <w:sz w:val="24"/>
    </w:rPr>
  </w:style>
  <w:style w:type="paragraph" w:styleId="13">
    <w:name w:val="footnote text"/>
    <w:basedOn w:val="1"/>
    <w:link w:val="183"/>
    <w:semiHidden/>
    <w:unhideWhenUsed/>
    <w:uiPriority w:val="99"/>
    <w:pPr>
      <w:spacing w:after="40"/>
    </w:pPr>
    <w:rPr>
      <w:sz w:val="18"/>
    </w:rPr>
  </w:style>
  <w:style w:type="paragraph" w:styleId="14">
    <w:name w:val="toc 6"/>
    <w:basedOn w:val="1"/>
    <w:next w:val="1"/>
    <w:unhideWhenUsed/>
    <w:uiPriority w:val="39"/>
    <w:pPr>
      <w:spacing w:after="57"/>
      <w:ind w:left="1417"/>
    </w:pPr>
  </w:style>
  <w:style w:type="paragraph" w:styleId="15">
    <w:name w:val="toc 2"/>
    <w:basedOn w:val="1"/>
    <w:next w:val="1"/>
    <w:unhideWhenUsed/>
    <w:uiPriority w:val="39"/>
    <w:pPr>
      <w:spacing w:after="57"/>
      <w:ind w:left="283"/>
    </w:pPr>
  </w:style>
  <w:style w:type="paragraph" w:styleId="16">
    <w:name w:val="toc 9"/>
    <w:basedOn w:val="1"/>
    <w:next w:val="1"/>
    <w:unhideWhenUsed/>
    <w:uiPriority w:val="39"/>
    <w:pPr>
      <w:spacing w:after="57"/>
      <w:ind w:left="2268"/>
    </w:pPr>
  </w:style>
  <w:style w:type="paragraph" w:styleId="17">
    <w:name w:val="Normal (Web)"/>
    <w:uiPriority w:val="0"/>
    <w:pPr>
      <w:pBdr>
        <w:top w:val="none" w:color="000000" w:sz="0" w:space="0"/>
        <w:left w:val="none" w:color="000000" w:sz="0" w:space="0"/>
        <w:bottom w:val="none" w:color="000000" w:sz="0" w:space="0"/>
        <w:right w:val="none" w:color="000000" w:sz="0" w:space="0"/>
        <w:between w:val="none" w:color="000000" w:sz="0" w:space="0"/>
      </w:pBdr>
      <w:shd w:val="clear"/>
      <w:spacing w:before="100" w:beforeAutospacing="1" w:after="100" w:afterAutospacing="1"/>
    </w:pPr>
    <w:rPr>
      <w:rFonts w:ascii="宋体" w:hAnsi="宋体" w:eastAsia="宋体" w:cs="宋体"/>
      <w:sz w:val="24"/>
      <w:szCs w:val="24"/>
      <w:lang w:val="en-US" w:eastAsia="zh-CN" w:bidi="ar-SA"/>
    </w:rPr>
  </w:style>
  <w:style w:type="paragraph" w:styleId="18">
    <w:name w:val="Title"/>
    <w:basedOn w:val="1"/>
    <w:next w:val="1"/>
    <w:link w:val="46"/>
    <w:qFormat/>
    <w:uiPriority w:val="10"/>
    <w:pPr>
      <w:spacing w:before="300" w:after="200"/>
      <w:contextualSpacing/>
    </w:pPr>
    <w:rPr>
      <w:sz w:val="48"/>
      <w:szCs w:val="48"/>
    </w:rPr>
  </w:style>
  <w:style w:type="table" w:styleId="20">
    <w:name w:val="Table Grid"/>
    <w:basedOn w:val="1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endnote reference"/>
    <w:basedOn w:val="21"/>
    <w:semiHidden/>
    <w:unhideWhenUsed/>
    <w:uiPriority w:val="99"/>
    <w:rPr>
      <w:vertAlign w:val="superscript"/>
    </w:rPr>
  </w:style>
  <w:style w:type="character" w:styleId="23">
    <w:name w:val="page number"/>
    <w:basedOn w:val="21"/>
    <w:qFormat/>
    <w:uiPriority w:val="0"/>
  </w:style>
  <w:style w:type="character" w:styleId="24">
    <w:name w:val="Hyperlink"/>
    <w:unhideWhenUsed/>
    <w:uiPriority w:val="99"/>
    <w:rPr>
      <w:color w:val="0563C1" w:themeColor="hyperlink"/>
      <w:u w:val="single"/>
    </w:rPr>
  </w:style>
  <w:style w:type="character" w:styleId="25">
    <w:name w:val="footnote reference"/>
    <w:basedOn w:val="21"/>
    <w:unhideWhenUsed/>
    <w:uiPriority w:val="99"/>
    <w:rPr>
      <w:vertAlign w:val="superscript"/>
    </w:rPr>
  </w:style>
  <w:style w:type="paragraph" w:customStyle="1" w:styleId="26">
    <w:name w:val="Heading 1"/>
    <w:basedOn w:val="1"/>
    <w:next w:val="1"/>
    <w:link w:val="27"/>
    <w:qFormat/>
    <w:uiPriority w:val="9"/>
    <w:pPr>
      <w:keepNext/>
      <w:keepLines/>
      <w:spacing w:before="480" w:after="200"/>
      <w:outlineLvl w:val="0"/>
    </w:pPr>
    <w:rPr>
      <w:rFonts w:ascii="Arial" w:hAnsi="Arial" w:eastAsia="Arial" w:cs="Arial"/>
      <w:sz w:val="40"/>
      <w:szCs w:val="40"/>
    </w:rPr>
  </w:style>
  <w:style w:type="character" w:customStyle="1" w:styleId="27">
    <w:name w:val="Heading 1 Char"/>
    <w:basedOn w:val="21"/>
    <w:link w:val="26"/>
    <w:qFormat/>
    <w:uiPriority w:val="9"/>
    <w:rPr>
      <w:rFonts w:ascii="Arial" w:hAnsi="Arial" w:eastAsia="Arial" w:cs="Arial"/>
      <w:sz w:val="40"/>
      <w:szCs w:val="40"/>
    </w:rPr>
  </w:style>
  <w:style w:type="paragraph" w:customStyle="1" w:styleId="28">
    <w:name w:val="Heading 2"/>
    <w:basedOn w:val="1"/>
    <w:next w:val="1"/>
    <w:link w:val="29"/>
    <w:unhideWhenUsed/>
    <w:qFormat/>
    <w:uiPriority w:val="9"/>
    <w:pPr>
      <w:keepNext/>
      <w:keepLines/>
      <w:spacing w:before="360" w:after="200"/>
      <w:outlineLvl w:val="1"/>
    </w:pPr>
    <w:rPr>
      <w:rFonts w:ascii="Arial" w:hAnsi="Arial" w:eastAsia="Arial" w:cs="Arial"/>
      <w:sz w:val="34"/>
    </w:rPr>
  </w:style>
  <w:style w:type="character" w:customStyle="1" w:styleId="29">
    <w:name w:val="Heading 2 Char"/>
    <w:basedOn w:val="21"/>
    <w:link w:val="28"/>
    <w:qFormat/>
    <w:uiPriority w:val="9"/>
    <w:rPr>
      <w:rFonts w:ascii="Arial" w:hAnsi="Arial" w:eastAsia="Arial" w:cs="Arial"/>
      <w:sz w:val="34"/>
    </w:rPr>
  </w:style>
  <w:style w:type="paragraph" w:customStyle="1" w:styleId="30">
    <w:name w:val="Heading 3"/>
    <w:basedOn w:val="1"/>
    <w:next w:val="1"/>
    <w:link w:val="31"/>
    <w:unhideWhenUsed/>
    <w:qFormat/>
    <w:uiPriority w:val="9"/>
    <w:pPr>
      <w:keepNext/>
      <w:keepLines/>
      <w:spacing w:before="320" w:after="200"/>
      <w:outlineLvl w:val="2"/>
    </w:pPr>
    <w:rPr>
      <w:rFonts w:ascii="Arial" w:hAnsi="Arial" w:eastAsia="Arial" w:cs="Arial"/>
      <w:sz w:val="30"/>
      <w:szCs w:val="30"/>
    </w:rPr>
  </w:style>
  <w:style w:type="character" w:customStyle="1" w:styleId="31">
    <w:name w:val="Heading 3 Char"/>
    <w:basedOn w:val="21"/>
    <w:link w:val="30"/>
    <w:qFormat/>
    <w:uiPriority w:val="9"/>
    <w:rPr>
      <w:rFonts w:ascii="Arial" w:hAnsi="Arial" w:eastAsia="Arial" w:cs="Arial"/>
      <w:sz w:val="30"/>
      <w:szCs w:val="30"/>
    </w:rPr>
  </w:style>
  <w:style w:type="paragraph" w:customStyle="1" w:styleId="32">
    <w:name w:val="Heading 4"/>
    <w:basedOn w:val="1"/>
    <w:next w:val="1"/>
    <w:link w:val="33"/>
    <w:unhideWhenUsed/>
    <w:qFormat/>
    <w:uiPriority w:val="9"/>
    <w:pPr>
      <w:keepNext/>
      <w:keepLines/>
      <w:spacing w:before="320" w:after="200"/>
      <w:outlineLvl w:val="3"/>
    </w:pPr>
    <w:rPr>
      <w:rFonts w:ascii="Arial" w:hAnsi="Arial" w:eastAsia="Arial" w:cs="Arial"/>
      <w:b/>
      <w:bCs/>
      <w:sz w:val="26"/>
      <w:szCs w:val="26"/>
    </w:rPr>
  </w:style>
  <w:style w:type="character" w:customStyle="1" w:styleId="33">
    <w:name w:val="Heading 4 Char"/>
    <w:basedOn w:val="21"/>
    <w:link w:val="32"/>
    <w:qFormat/>
    <w:uiPriority w:val="9"/>
    <w:rPr>
      <w:rFonts w:ascii="Arial" w:hAnsi="Arial" w:eastAsia="Arial" w:cs="Arial"/>
      <w:b/>
      <w:bCs/>
      <w:sz w:val="26"/>
      <w:szCs w:val="26"/>
    </w:rPr>
  </w:style>
  <w:style w:type="paragraph" w:customStyle="1" w:styleId="34">
    <w:name w:val="Heading 5"/>
    <w:basedOn w:val="1"/>
    <w:next w:val="1"/>
    <w:link w:val="35"/>
    <w:unhideWhenUsed/>
    <w:qFormat/>
    <w:uiPriority w:val="9"/>
    <w:pPr>
      <w:keepNext/>
      <w:keepLines/>
      <w:spacing w:before="320" w:after="200"/>
      <w:outlineLvl w:val="4"/>
    </w:pPr>
    <w:rPr>
      <w:rFonts w:ascii="Arial" w:hAnsi="Arial" w:eastAsia="Arial" w:cs="Arial"/>
      <w:b/>
      <w:bCs/>
      <w:sz w:val="24"/>
    </w:rPr>
  </w:style>
  <w:style w:type="character" w:customStyle="1" w:styleId="35">
    <w:name w:val="Heading 5 Char"/>
    <w:basedOn w:val="21"/>
    <w:link w:val="34"/>
    <w:qFormat/>
    <w:uiPriority w:val="9"/>
    <w:rPr>
      <w:rFonts w:ascii="Arial" w:hAnsi="Arial" w:eastAsia="Arial" w:cs="Arial"/>
      <w:b/>
      <w:bCs/>
      <w:sz w:val="24"/>
      <w:szCs w:val="24"/>
    </w:rPr>
  </w:style>
  <w:style w:type="paragraph" w:customStyle="1" w:styleId="36">
    <w:name w:val="Heading 6"/>
    <w:basedOn w:val="1"/>
    <w:next w:val="1"/>
    <w:link w:val="37"/>
    <w:unhideWhenUsed/>
    <w:qFormat/>
    <w:uiPriority w:val="9"/>
    <w:pPr>
      <w:keepNext/>
      <w:keepLines/>
      <w:spacing w:before="320" w:after="200"/>
      <w:outlineLvl w:val="5"/>
    </w:pPr>
    <w:rPr>
      <w:rFonts w:ascii="Arial" w:hAnsi="Arial" w:eastAsia="Arial" w:cs="Arial"/>
      <w:b/>
      <w:bCs/>
      <w:sz w:val="22"/>
      <w:szCs w:val="22"/>
    </w:rPr>
  </w:style>
  <w:style w:type="character" w:customStyle="1" w:styleId="37">
    <w:name w:val="Heading 6 Char"/>
    <w:basedOn w:val="21"/>
    <w:link w:val="36"/>
    <w:qFormat/>
    <w:uiPriority w:val="9"/>
    <w:rPr>
      <w:rFonts w:ascii="Arial" w:hAnsi="Arial" w:eastAsia="Arial" w:cs="Arial"/>
      <w:b/>
      <w:bCs/>
      <w:sz w:val="22"/>
      <w:szCs w:val="22"/>
    </w:rPr>
  </w:style>
  <w:style w:type="paragraph" w:customStyle="1" w:styleId="38">
    <w:name w:val="Heading 7"/>
    <w:basedOn w:val="1"/>
    <w:next w:val="1"/>
    <w:link w:val="39"/>
    <w:unhideWhenUsed/>
    <w:qFormat/>
    <w:uiPriority w:val="9"/>
    <w:pPr>
      <w:keepNext/>
      <w:keepLines/>
      <w:spacing w:before="320" w:after="200"/>
      <w:outlineLvl w:val="6"/>
    </w:pPr>
    <w:rPr>
      <w:rFonts w:ascii="Arial" w:hAnsi="Arial" w:eastAsia="Arial" w:cs="Arial"/>
      <w:b/>
      <w:bCs/>
      <w:i/>
      <w:iCs/>
      <w:sz w:val="22"/>
      <w:szCs w:val="22"/>
    </w:rPr>
  </w:style>
  <w:style w:type="character" w:customStyle="1" w:styleId="39">
    <w:name w:val="Heading 7 Char"/>
    <w:basedOn w:val="21"/>
    <w:link w:val="38"/>
    <w:qFormat/>
    <w:uiPriority w:val="9"/>
    <w:rPr>
      <w:rFonts w:ascii="Arial" w:hAnsi="Arial" w:eastAsia="Arial" w:cs="Arial"/>
      <w:b/>
      <w:bCs/>
      <w:i/>
      <w:iCs/>
      <w:sz w:val="22"/>
      <w:szCs w:val="22"/>
    </w:rPr>
  </w:style>
  <w:style w:type="paragraph" w:customStyle="1" w:styleId="40">
    <w:name w:val="Heading 8"/>
    <w:basedOn w:val="1"/>
    <w:next w:val="1"/>
    <w:link w:val="41"/>
    <w:unhideWhenUsed/>
    <w:qFormat/>
    <w:uiPriority w:val="9"/>
    <w:pPr>
      <w:keepNext/>
      <w:keepLines/>
      <w:spacing w:before="320" w:after="200"/>
      <w:outlineLvl w:val="7"/>
    </w:pPr>
    <w:rPr>
      <w:rFonts w:ascii="Arial" w:hAnsi="Arial" w:eastAsia="Arial" w:cs="Arial"/>
      <w:i/>
      <w:iCs/>
      <w:sz w:val="22"/>
      <w:szCs w:val="22"/>
    </w:rPr>
  </w:style>
  <w:style w:type="character" w:customStyle="1" w:styleId="41">
    <w:name w:val="Heading 8 Char"/>
    <w:basedOn w:val="21"/>
    <w:link w:val="40"/>
    <w:qFormat/>
    <w:uiPriority w:val="9"/>
    <w:rPr>
      <w:rFonts w:ascii="Arial" w:hAnsi="Arial" w:eastAsia="Arial" w:cs="Arial"/>
      <w:i/>
      <w:iCs/>
      <w:sz w:val="22"/>
      <w:szCs w:val="22"/>
    </w:rPr>
  </w:style>
  <w:style w:type="paragraph" w:customStyle="1" w:styleId="42">
    <w:name w:val="Heading 9"/>
    <w:basedOn w:val="1"/>
    <w:next w:val="1"/>
    <w:link w:val="43"/>
    <w:unhideWhenUsed/>
    <w:qFormat/>
    <w:uiPriority w:val="9"/>
    <w:pPr>
      <w:keepNext/>
      <w:keepLines/>
      <w:spacing w:before="320" w:after="200"/>
      <w:outlineLvl w:val="8"/>
    </w:pPr>
    <w:rPr>
      <w:rFonts w:ascii="Arial" w:hAnsi="Arial" w:eastAsia="Arial" w:cs="Arial"/>
      <w:i/>
      <w:iCs/>
      <w:szCs w:val="21"/>
    </w:rPr>
  </w:style>
  <w:style w:type="character" w:customStyle="1" w:styleId="43">
    <w:name w:val="Heading 9 Char"/>
    <w:basedOn w:val="21"/>
    <w:link w:val="42"/>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rPr>
      <w:rFonts w:ascii="Times New Roman" w:hAnsi="Times New Roman" w:eastAsia="宋体" w:cs="Times New Roman"/>
      <w:lang w:val="en-US" w:eastAsia="zh-CN" w:bidi="ar-SA"/>
    </w:rPr>
  </w:style>
  <w:style w:type="character" w:customStyle="1" w:styleId="46">
    <w:name w:val="标题 Char"/>
    <w:basedOn w:val="21"/>
    <w:link w:val="18"/>
    <w:uiPriority w:val="10"/>
    <w:rPr>
      <w:sz w:val="48"/>
      <w:szCs w:val="48"/>
    </w:rPr>
  </w:style>
  <w:style w:type="character" w:customStyle="1" w:styleId="47">
    <w:name w:val="副标题 Char"/>
    <w:basedOn w:val="21"/>
    <w:link w:val="12"/>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引用 Char"/>
    <w:link w:val="48"/>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pPr>
    <w:rPr>
      <w:i/>
    </w:rPr>
  </w:style>
  <w:style w:type="character" w:customStyle="1" w:styleId="51">
    <w:name w:val="明显引用 Char"/>
    <w:link w:val="50"/>
    <w:uiPriority w:val="30"/>
    <w:rPr>
      <w:i/>
    </w:rPr>
  </w:style>
  <w:style w:type="character" w:customStyle="1" w:styleId="52">
    <w:name w:val="Header Char"/>
    <w:basedOn w:val="21"/>
    <w:link w:val="53"/>
    <w:uiPriority w:val="99"/>
  </w:style>
  <w:style w:type="paragraph" w:customStyle="1" w:styleId="53">
    <w:name w:val="Header"/>
    <w:basedOn w:val="1"/>
    <w:link w:val="52"/>
    <w:qFormat/>
    <w:uiPriority w:val="0"/>
    <w:pPr>
      <w:pBdr>
        <w:bottom w:val="single" w:color="auto" w:sz="6" w:space="1"/>
      </w:pBdr>
      <w:tabs>
        <w:tab w:val="center" w:pos="4153"/>
        <w:tab w:val="right" w:pos="8306"/>
      </w:tabs>
      <w:jc w:val="center"/>
    </w:pPr>
    <w:rPr>
      <w:sz w:val="18"/>
      <w:szCs w:val="18"/>
    </w:rPr>
  </w:style>
  <w:style w:type="character" w:customStyle="1" w:styleId="54">
    <w:name w:val="Footer Char"/>
    <w:basedOn w:val="21"/>
    <w:uiPriority w:val="99"/>
  </w:style>
  <w:style w:type="paragraph" w:customStyle="1" w:styleId="55">
    <w:name w:val="Caption"/>
    <w:basedOn w:val="1"/>
    <w:next w:val="1"/>
    <w:semiHidden/>
    <w:unhideWhenUsed/>
    <w:qFormat/>
    <w:uiPriority w:val="35"/>
    <w:pPr>
      <w:spacing w:line="276" w:lineRule="auto"/>
    </w:pPr>
    <w:rPr>
      <w:b/>
      <w:bCs/>
      <w:color w:val="5B9BD5" w:themeColor="accent1"/>
      <w:sz w:val="18"/>
      <w:szCs w:val="18"/>
    </w:rPr>
  </w:style>
  <w:style w:type="character" w:customStyle="1" w:styleId="56">
    <w:name w:val="Caption Char"/>
    <w:link w:val="57"/>
    <w:uiPriority w:val="99"/>
  </w:style>
  <w:style w:type="paragraph" w:customStyle="1" w:styleId="57">
    <w:name w:val="Footer"/>
    <w:basedOn w:val="1"/>
    <w:link w:val="56"/>
    <w:qFormat/>
    <w:uiPriority w:val="0"/>
    <w:pPr>
      <w:tabs>
        <w:tab w:val="center" w:pos="4153"/>
        <w:tab w:val="right" w:pos="8306"/>
      </w:tabs>
      <w:jc w:val="left"/>
    </w:pPr>
    <w:rPr>
      <w:sz w:val="18"/>
      <w:szCs w:val="18"/>
    </w:rPr>
  </w:style>
  <w:style w:type="table" w:customStyle="1" w:styleId="58">
    <w:name w:val="Table Grid Light"/>
    <w:basedOn w:val="19"/>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9">
    <w:name w:val="Plain Table 1"/>
    <w:basedOn w:val="19"/>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60">
    <w:name w:val="Plain Table 2"/>
    <w:basedOn w:val="19"/>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1">
    <w:name w:val="Plain Table 3"/>
    <w:basedOn w:val="19"/>
    <w:uiPriority w:val="99"/>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2">
    <w:name w:val="Plain Table 4"/>
    <w:basedOn w:val="19"/>
    <w:uiPriority w:val="99"/>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3">
    <w:name w:val="Plain Table 5"/>
    <w:basedOn w:val="19"/>
    <w:uiPriority w:val="99"/>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4">
    <w:name w:val="Grid Table 1 Light"/>
    <w:basedOn w:val="19"/>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108" w:type="dxa"/>
        <w:bottom w:w="0" w:type="dxa"/>
        <w:right w:w="108"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5">
    <w:name w:val="Grid Table 1 Light - Accent 1"/>
    <w:basedOn w:val="19"/>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6">
    <w:name w:val="Grid Table 1 Light - Accent 2"/>
    <w:basedOn w:val="19"/>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7">
    <w:name w:val="Grid Table 1 Light - Accent 3"/>
    <w:basedOn w:val="19"/>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8">
    <w:name w:val="Grid Table 1 Light - Accent 4"/>
    <w:basedOn w:val="19"/>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108" w:type="dxa"/>
        <w:bottom w:w="0" w:type="dxa"/>
        <w:right w:w="108" w:type="dxa"/>
      </w:tblCellMar>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9">
    <w:name w:val="Grid Table 1 Light - Accent 5"/>
    <w:basedOn w:val="19"/>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108" w:type="dxa"/>
        <w:bottom w:w="0" w:type="dxa"/>
        <w:right w:w="108" w:type="dxa"/>
      </w:tblCellMar>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70">
    <w:name w:val="Grid Table 1 Light - Accent 6"/>
    <w:basedOn w:val="19"/>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71">
    <w:name w:val="Grid Table 2"/>
    <w:basedOn w:val="19"/>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2">
    <w:name w:val="Grid Table 2 - Accent 1"/>
    <w:basedOn w:val="19"/>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single" w:color="68A3D8" w:themeColor="accent1" w:themeTint="EA" w:sz="12" w:space="0"/>
          <w:right w:val="nil"/>
        </w:tcBorders>
        <w:shd w:val="clear" w:color="FFFFFF" w:fill="FFFFFF"/>
      </w:tcPr>
    </w:tblStylePr>
    <w:tblStylePr w:type="lastRow">
      <w:rPr>
        <w:b/>
        <w:color w:val="404040"/>
      </w:rPr>
      <w:tcPr>
        <w:tcBorders>
          <w:top w:val="single" w:color="68A3D8" w:themeColor="accent1" w:themeTint="E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DEAF6" w:themeFill="accent1" w:themeFillTint="34"/>
      </w:tcPr>
    </w:tblStylePr>
    <w:tblStylePr w:type="band1Horz">
      <w:rPr>
        <w:rFonts w:ascii="Arial" w:hAnsi="Arial"/>
        <w:color w:val="404040"/>
        <w:sz w:val="22"/>
      </w:rPr>
      <w:tcPr>
        <w:shd w:val="clear" w:color="FFFFFF" w:fill="DDEAF6" w:themeFill="accent1" w:themeFillTint="34"/>
      </w:tcPr>
    </w:tblStylePr>
  </w:style>
  <w:style w:type="table" w:customStyle="1" w:styleId="73">
    <w:name w:val="Grid Table 2 - Accent 2"/>
    <w:basedOn w:val="19"/>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single" w:color="F4B285" w:themeColor="accent2" w:themeTint="97" w:sz="12" w:space="0"/>
          <w:right w:val="nil"/>
        </w:tcBorders>
        <w:shd w:val="clear" w:color="FFFFFF" w:fill="FFFFFF"/>
      </w:tcPr>
    </w:tblStylePr>
    <w:tblStylePr w:type="lastRow">
      <w:rPr>
        <w:b/>
        <w:color w:val="404040"/>
      </w:rPr>
      <w:tcPr>
        <w:tcBorders>
          <w:top w:val="single" w:color="F4B285" w:themeColor="accent2" w:themeTint="97"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74">
    <w:name w:val="Grid Table 2 - Accent 3"/>
    <w:basedOn w:val="19"/>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single" w:color="A5A5A5" w:themeColor="accent3" w:themeTint="FE" w:sz="12" w:space="0"/>
          <w:right w:val="nil"/>
        </w:tcBorders>
        <w:shd w:val="clear" w:color="FFFFFF" w:fill="FFFFFF"/>
      </w:tcPr>
    </w:tblStylePr>
    <w:tblStylePr w:type="lastRow">
      <w:rPr>
        <w:b/>
        <w:color w:val="404040"/>
      </w:rPr>
      <w:tcPr>
        <w:tcBorders>
          <w:top w:val="single" w:color="A5A5A5" w:themeColor="accent3" w:themeTint="FE"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75">
    <w:name w:val="Grid Table 2 - Accent 4"/>
    <w:basedOn w:val="19"/>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single" w:color="FFD864" w:themeColor="accent4" w:themeTint="9A" w:sz="12" w:space="0"/>
          <w:right w:val="nil"/>
        </w:tcBorders>
        <w:shd w:val="clear" w:color="FFFFFF" w:fill="FFFFFF"/>
      </w:tcPr>
    </w:tblStylePr>
    <w:tblStylePr w:type="lastRow">
      <w:rPr>
        <w:b/>
        <w:color w:val="404040"/>
      </w:rPr>
      <w:tcPr>
        <w:tcBorders>
          <w:top w:val="single" w:color="FFD864" w:themeColor="accent4" w:themeTint="9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76">
    <w:name w:val="Grid Table 2 - Accent 5"/>
    <w:basedOn w:val="19"/>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cPr>
        <w:tcBorders>
          <w:top w:val="nil"/>
          <w:left w:val="nil"/>
          <w:bottom w:val="single" w:color="4472C4" w:themeColor="accent5" w:sz="12" w:space="0"/>
          <w:right w:val="nil"/>
        </w:tcBorders>
        <w:shd w:val="clear" w:color="FFFFFF" w:fill="FFFFFF"/>
      </w:tcPr>
    </w:tblStylePr>
    <w:tblStylePr w:type="lastRow">
      <w:rPr>
        <w:b/>
        <w:color w:val="404040"/>
      </w:rPr>
      <w:tcPr>
        <w:tcBorders>
          <w:top w:val="single" w:color="4472C4" w:themeColor="accent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77">
    <w:name w:val="Grid Table 2 - Accent 6"/>
    <w:basedOn w:val="19"/>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cPr>
        <w:tcBorders>
          <w:top w:val="nil"/>
          <w:left w:val="nil"/>
          <w:bottom w:val="single" w:color="70AD47" w:themeColor="accent6" w:sz="12" w:space="0"/>
          <w:right w:val="nil"/>
        </w:tcBorders>
        <w:shd w:val="clear" w:color="FFFFFF" w:fill="FFFFFF"/>
      </w:tcPr>
    </w:tblStylePr>
    <w:tblStylePr w:type="lastRow">
      <w:rPr>
        <w:b/>
        <w:color w:val="404040"/>
      </w:rPr>
      <w:tcPr>
        <w:tcBorders>
          <w:top w:val="single" w:color="70AD47" w:themeColor="accent6"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78">
    <w:name w:val="Grid Table 3"/>
    <w:basedOn w:val="19"/>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9">
    <w:name w:val="Grid Table 3 - Accent 1"/>
    <w:basedOn w:val="19"/>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DEAF6" w:themeFill="accent1" w:themeFillTint="34"/>
      </w:tcPr>
    </w:tblStylePr>
    <w:tblStylePr w:type="band1Horz">
      <w:rPr>
        <w:rFonts w:ascii="Arial" w:hAnsi="Arial"/>
        <w:color w:val="404040"/>
        <w:sz w:val="22"/>
      </w:rPr>
      <w:tcPr>
        <w:shd w:val="clear" w:color="FFFFFF" w:fill="DDEAF6" w:themeFill="accent1" w:themeFillTint="34"/>
      </w:tcPr>
    </w:tblStylePr>
  </w:style>
  <w:style w:type="table" w:customStyle="1" w:styleId="80">
    <w:name w:val="Grid Table 3 - Accent 2"/>
    <w:basedOn w:val="19"/>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81">
    <w:name w:val="Grid Table 3 - Accent 3"/>
    <w:basedOn w:val="19"/>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82">
    <w:name w:val="Grid Table 3 - Accent 4"/>
    <w:basedOn w:val="19"/>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83">
    <w:name w:val="Grid Table 3 - Accent 5"/>
    <w:basedOn w:val="19"/>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84">
    <w:name w:val="Grid Table 3 - Accent 6"/>
    <w:basedOn w:val="19"/>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85">
    <w:name w:val="Grid Table 4"/>
    <w:basedOn w:val="19"/>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6">
    <w:name w:val="Grid Table 4 - Accent 1"/>
    <w:basedOn w:val="19"/>
    <w:uiPriority w:val="5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FFFFFF"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EEBF6" w:themeFill="accent1" w:themeFillTint="32"/>
      </w:tcPr>
    </w:tblStylePr>
    <w:tblStylePr w:type="band1Horz">
      <w:rPr>
        <w:rFonts w:ascii="Arial" w:hAnsi="Arial"/>
        <w:color w:val="404040"/>
        <w:sz w:val="22"/>
      </w:rPr>
      <w:tcPr>
        <w:shd w:val="clear" w:color="FFFFFF" w:fill="DEEBF6" w:themeFill="accent1" w:themeFillTint="32"/>
      </w:tcPr>
    </w:tblStylePr>
  </w:style>
  <w:style w:type="table" w:customStyle="1" w:styleId="87">
    <w:name w:val="Grid Table 4 - Accent 2"/>
    <w:basedOn w:val="19"/>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FFFFF"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88">
    <w:name w:val="Grid Table 4 - Accent 3"/>
    <w:basedOn w:val="19"/>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FFFFFF"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89">
    <w:name w:val="Grid Table 4 - Accent 4"/>
    <w:basedOn w:val="19"/>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FFFF"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90">
    <w:name w:val="Grid Table 4 - Accent 5"/>
    <w:basedOn w:val="19"/>
    <w:uiPriority w:val="5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FFFFFF"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91">
    <w:name w:val="Grid Table 4 - Accent 6"/>
    <w:basedOn w:val="19"/>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FFFFFF"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92">
    <w:name w:val="Grid Table 5 Dark"/>
    <w:basedOn w:val="19"/>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FFFFF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93">
    <w:name w:val="Grid Table 5 Dark- Accent 1"/>
    <w:basedOn w:val="19"/>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5B9BD5" w:themeFill="accent1"/>
      </w:tcPr>
    </w:tblStylePr>
    <w:tblStylePr w:type="lastRow">
      <w:rPr>
        <w:rFonts w:ascii="Arial" w:hAnsi="Arial"/>
        <w:b/>
        <w:color w:val="FFFFFF"/>
        <w:sz w:val="22"/>
      </w:rPr>
      <w:tcPr>
        <w:tcBorders>
          <w:top w:val="single" w:color="FFFFFF" w:themeColor="light1" w:sz="4" w:space="0"/>
        </w:tcBorders>
        <w:shd w:val="clear" w:color="FFFFFF" w:fill="5B9BD5" w:themeFill="accent1"/>
      </w:tcPr>
    </w:tblStylePr>
    <w:tblStylePr w:type="firstCol">
      <w:rPr>
        <w:rFonts w:ascii="Arial" w:hAnsi="Arial"/>
        <w:b/>
        <w:color w:val="FFFFFF"/>
        <w:sz w:val="22"/>
      </w:rPr>
      <w:tcPr>
        <w:shd w:val="clear" w:color="FFFFFF" w:fill="5B9BD5" w:themeFill="accent1"/>
      </w:tcPr>
    </w:tblStylePr>
    <w:tblStylePr w:type="lastCol">
      <w:rPr>
        <w:rFonts w:ascii="Arial" w:hAnsi="Arial"/>
        <w:b/>
        <w:color w:val="FFFFFF"/>
        <w:sz w:val="22"/>
      </w:rPr>
      <w:tcPr>
        <w:shd w:val="clear" w:color="FFFFFF" w:fill="5B9BD5" w:themeFill="accent1"/>
      </w:tcPr>
    </w:tblStylePr>
    <w:tblStylePr w:type="band1Vert">
      <w:tcPr>
        <w:shd w:val="clear" w:color="FFFFFF" w:fill="B3D1EB" w:themeFill="accent1" w:themeFillTint="75"/>
      </w:tcPr>
    </w:tblStylePr>
    <w:tblStylePr w:type="band1Horz">
      <w:tcPr>
        <w:shd w:val="clear" w:color="FFFFFF" w:fill="B3D1EB" w:themeFill="accent1" w:themeFillTint="75"/>
      </w:tcPr>
    </w:tblStylePr>
  </w:style>
  <w:style w:type="table" w:customStyle="1" w:styleId="94">
    <w:name w:val="Grid Table 5 Dark - Accent 2"/>
    <w:basedOn w:val="19"/>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ED7D31" w:themeFill="accent2"/>
      </w:tcPr>
    </w:tblStylePr>
    <w:tblStylePr w:type="lastRow">
      <w:rPr>
        <w:rFonts w:ascii="Arial" w:hAnsi="Arial"/>
        <w:b/>
        <w:color w:val="FFFFFF"/>
        <w:sz w:val="22"/>
      </w:rPr>
      <w:tcPr>
        <w:tcBorders>
          <w:top w:val="single" w:color="FFFFFF" w:themeColor="light1" w:sz="4" w:space="0"/>
        </w:tcBorders>
        <w:shd w:val="clear" w:color="FFFFFF" w:fill="ED7D31" w:themeFill="accent2"/>
      </w:tcPr>
    </w:tblStylePr>
    <w:tblStylePr w:type="firstCol">
      <w:rPr>
        <w:rFonts w:ascii="Arial" w:hAnsi="Arial"/>
        <w:b/>
        <w:color w:val="FFFFFF"/>
        <w:sz w:val="22"/>
      </w:rPr>
      <w:tcPr>
        <w:shd w:val="clear" w:color="FFFFFF" w:fill="ED7D31" w:themeFill="accent2"/>
      </w:tcPr>
    </w:tblStylePr>
    <w:tblStylePr w:type="lastCol">
      <w:rPr>
        <w:rFonts w:ascii="Arial" w:hAnsi="Arial"/>
        <w:b/>
        <w:color w:val="FFFFFF"/>
        <w:sz w:val="22"/>
      </w:rPr>
      <w:tcPr>
        <w:shd w:val="clear" w:color="FFFFFF" w:fill="ED7D31" w:themeFill="accent2"/>
      </w:tcPr>
    </w:tblStylePr>
    <w:tblStylePr w:type="band1Vert">
      <w:tcPr>
        <w:shd w:val="clear" w:color="FFFFFF" w:fill="F6C3A0" w:themeFill="accent2" w:themeFillTint="75"/>
      </w:tcPr>
    </w:tblStylePr>
    <w:tblStylePr w:type="band1Horz">
      <w:tcPr>
        <w:shd w:val="clear" w:color="FFFFFF" w:fill="F6C3A0" w:themeFill="accent2" w:themeFillTint="75"/>
      </w:tcPr>
    </w:tblStylePr>
  </w:style>
  <w:style w:type="table" w:customStyle="1" w:styleId="95">
    <w:name w:val="Grid Table 5 Dark - Accent 3"/>
    <w:basedOn w:val="19"/>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A5A5A5" w:themeFill="accent3"/>
      </w:tcPr>
    </w:tblStylePr>
    <w:tblStylePr w:type="lastRow">
      <w:rPr>
        <w:rFonts w:ascii="Arial" w:hAnsi="Arial"/>
        <w:b/>
        <w:color w:val="FFFFFF"/>
        <w:sz w:val="22"/>
      </w:rPr>
      <w:tcPr>
        <w:tcBorders>
          <w:top w:val="single" w:color="FFFFFF" w:themeColor="light1" w:sz="4" w:space="0"/>
        </w:tcBorders>
        <w:shd w:val="clear" w:color="FFFFFF" w:fill="A5A5A5" w:themeFill="accent3"/>
      </w:tcPr>
    </w:tblStylePr>
    <w:tblStylePr w:type="firstCol">
      <w:rPr>
        <w:rFonts w:ascii="Arial" w:hAnsi="Arial"/>
        <w:b/>
        <w:color w:val="FFFFFF"/>
        <w:sz w:val="22"/>
      </w:rPr>
      <w:tcPr>
        <w:shd w:val="clear" w:color="FFFFFF" w:fill="A5A5A5" w:themeFill="accent3"/>
      </w:tcPr>
    </w:tblStylePr>
    <w:tblStylePr w:type="lastCol">
      <w:rPr>
        <w:rFonts w:ascii="Arial" w:hAnsi="Arial"/>
        <w:b/>
        <w:color w:val="FFFFFF"/>
        <w:sz w:val="22"/>
      </w:rPr>
      <w:tcPr>
        <w:shd w:val="clear" w:color="FFFFFF" w:fill="A5A5A5" w:themeFill="accent3"/>
      </w:tcPr>
    </w:tblStylePr>
    <w:tblStylePr w:type="band1Vert">
      <w:tcPr>
        <w:shd w:val="clear" w:color="FFFFFF" w:fill="D5D5D5" w:themeFill="accent3" w:themeFillTint="75"/>
      </w:tcPr>
    </w:tblStylePr>
    <w:tblStylePr w:type="band1Horz">
      <w:tcPr>
        <w:shd w:val="clear" w:color="FFFFFF" w:fill="D5D5D5" w:themeFill="accent3" w:themeFillTint="75"/>
      </w:tcPr>
    </w:tblStylePr>
  </w:style>
  <w:style w:type="table" w:customStyle="1" w:styleId="96">
    <w:name w:val="Grid Table 5 Dark- Accent 4"/>
    <w:basedOn w:val="19"/>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FFC000" w:themeFill="accent4"/>
      </w:tcPr>
    </w:tblStylePr>
    <w:tblStylePr w:type="lastRow">
      <w:rPr>
        <w:rFonts w:ascii="Arial" w:hAnsi="Arial"/>
        <w:b/>
        <w:color w:val="FFFFFF"/>
        <w:sz w:val="22"/>
      </w:rPr>
      <w:tcPr>
        <w:tcBorders>
          <w:top w:val="single" w:color="FFFFFF" w:themeColor="light1" w:sz="4" w:space="0"/>
        </w:tcBorders>
        <w:shd w:val="clear" w:color="FFFFFF" w:fill="FFC000" w:themeFill="accent4"/>
      </w:tcPr>
    </w:tblStylePr>
    <w:tblStylePr w:type="firstCol">
      <w:rPr>
        <w:rFonts w:ascii="Arial" w:hAnsi="Arial"/>
        <w:b/>
        <w:color w:val="FFFFFF"/>
        <w:sz w:val="22"/>
      </w:rPr>
      <w:tcPr>
        <w:shd w:val="clear" w:color="FFFFFF" w:fill="FFC000" w:themeFill="accent4"/>
      </w:tcPr>
    </w:tblStylePr>
    <w:tblStylePr w:type="lastCol">
      <w:rPr>
        <w:rFonts w:ascii="Arial" w:hAnsi="Arial"/>
        <w:b/>
        <w:color w:val="FFFFFF"/>
        <w:sz w:val="22"/>
      </w:rPr>
      <w:tcPr>
        <w:shd w:val="clear" w:color="FFFFFF" w:fill="FFC000" w:themeFill="accent4"/>
      </w:tcPr>
    </w:tblStylePr>
    <w:tblStylePr w:type="band1Vert">
      <w:tcPr>
        <w:shd w:val="clear" w:color="FFFFFF" w:fill="FEE289" w:themeFill="accent4" w:themeFillTint="75"/>
      </w:tcPr>
    </w:tblStylePr>
    <w:tblStylePr w:type="band1Horz">
      <w:tcPr>
        <w:shd w:val="clear" w:color="FFFFFF" w:fill="FEE289" w:themeFill="accent4" w:themeFillTint="75"/>
      </w:tcPr>
    </w:tblStylePr>
  </w:style>
  <w:style w:type="table" w:customStyle="1" w:styleId="97">
    <w:name w:val="Grid Table 5 Dark - Accent 5"/>
    <w:basedOn w:val="19"/>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4472C4" w:themeFill="accent5"/>
      </w:tcPr>
    </w:tblStylePr>
    <w:tblStylePr w:type="lastRow">
      <w:rPr>
        <w:rFonts w:ascii="Arial" w:hAnsi="Arial"/>
        <w:b/>
        <w:color w:val="FFFFFF"/>
        <w:sz w:val="22"/>
      </w:rPr>
      <w:tcPr>
        <w:tcBorders>
          <w:top w:val="single" w:color="FFFFFF" w:themeColor="light1" w:sz="4" w:space="0"/>
        </w:tcBorders>
        <w:shd w:val="clear" w:color="FFFFFF" w:fill="4472C4" w:themeFill="accent5"/>
      </w:tcPr>
    </w:tblStylePr>
    <w:tblStylePr w:type="firstCol">
      <w:rPr>
        <w:rFonts w:ascii="Arial" w:hAnsi="Arial"/>
        <w:b/>
        <w:color w:val="FFFFFF"/>
        <w:sz w:val="22"/>
      </w:rPr>
      <w:tcPr>
        <w:shd w:val="clear" w:color="FFFFFF" w:fill="4472C4" w:themeFill="accent5"/>
      </w:tcPr>
    </w:tblStylePr>
    <w:tblStylePr w:type="lastCol">
      <w:rPr>
        <w:rFonts w:ascii="Arial" w:hAnsi="Arial"/>
        <w:b/>
        <w:color w:val="FFFFFF"/>
        <w:sz w:val="22"/>
      </w:rPr>
      <w:tcPr>
        <w:shd w:val="clear" w:color="FFFFFF" w:fill="4472C4" w:themeFill="accent5"/>
      </w:tcPr>
    </w:tblStylePr>
    <w:tblStylePr w:type="band1Vert">
      <w:tcPr>
        <w:shd w:val="clear" w:color="FFFFFF" w:fill="A9BEE3" w:themeFill="accent5" w:themeFillTint="75"/>
      </w:tcPr>
    </w:tblStylePr>
    <w:tblStylePr w:type="band1Horz">
      <w:tcPr>
        <w:shd w:val="clear" w:color="FFFFFF" w:fill="A9BEE3" w:themeFill="accent5" w:themeFillTint="75"/>
      </w:tcPr>
    </w:tblStylePr>
  </w:style>
  <w:style w:type="table" w:customStyle="1" w:styleId="98">
    <w:name w:val="Grid Table 5 Dark - Accent 6"/>
    <w:basedOn w:val="19"/>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70AD47" w:themeFill="accent6"/>
      </w:tcPr>
    </w:tblStylePr>
    <w:tblStylePr w:type="lastRow">
      <w:rPr>
        <w:rFonts w:ascii="Arial" w:hAnsi="Arial"/>
        <w:b/>
        <w:color w:val="FFFFFF"/>
        <w:sz w:val="22"/>
      </w:rPr>
      <w:tcPr>
        <w:tcBorders>
          <w:top w:val="single" w:color="FFFFFF" w:themeColor="light1" w:sz="4" w:space="0"/>
        </w:tcBorders>
        <w:shd w:val="clear" w:color="FFFFFF" w:fill="70AD47" w:themeFill="accent6"/>
      </w:tcPr>
    </w:tblStylePr>
    <w:tblStylePr w:type="firstCol">
      <w:rPr>
        <w:rFonts w:ascii="Arial" w:hAnsi="Arial"/>
        <w:b/>
        <w:color w:val="FFFFFF"/>
        <w:sz w:val="22"/>
      </w:rPr>
      <w:tcPr>
        <w:shd w:val="clear" w:color="FFFFFF" w:fill="70AD47" w:themeFill="accent6"/>
      </w:tcPr>
    </w:tblStylePr>
    <w:tblStylePr w:type="lastCol">
      <w:rPr>
        <w:rFonts w:ascii="Arial" w:hAnsi="Arial"/>
        <w:b/>
        <w:color w:val="FFFFFF"/>
        <w:sz w:val="22"/>
      </w:rPr>
      <w:tcPr>
        <w:shd w:val="clear" w:color="FFFFFF" w:fill="70AD47" w:themeFill="accent6"/>
      </w:tcPr>
    </w:tblStylePr>
    <w:tblStylePr w:type="band1Vert">
      <w:tcPr>
        <w:shd w:val="clear" w:color="FFFFFF" w:fill="BCDBA8" w:themeFill="accent6" w:themeFillTint="75"/>
      </w:tcPr>
    </w:tblStylePr>
    <w:tblStylePr w:type="band1Horz">
      <w:tcPr>
        <w:shd w:val="clear" w:color="FFFFFF" w:fill="BCDBA8" w:themeFill="accent6" w:themeFillTint="75"/>
      </w:tcPr>
    </w:tblStylePr>
  </w:style>
  <w:style w:type="table" w:customStyle="1" w:styleId="99">
    <w:name w:val="Grid Table 6 Colorful"/>
    <w:basedOn w:val="19"/>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FFFFFF" w:fill="CACACA" w:themeFill="text1" w:themeFillTint="34"/>
      </w:tcPr>
    </w:tblStylePr>
    <w:tblStylePr w:type="band1Horz">
      <w:rPr>
        <w:rFonts w:ascii="Arial" w:hAnsi="Arial"/>
        <w:color w:val="7E7E7E" w:themeColor="text1" w:themeShade="95" w:themeTint="80"/>
        <w:sz w:val="22"/>
      </w:rPr>
      <w:tcPr>
        <w:shd w:val="clear" w:color="FFFFFF" w:fill="CACACA" w:themeFill="text1" w:themeFillTint="34"/>
      </w:tcPr>
    </w:tblStylePr>
    <w:tblStylePr w:type="band2Horz">
      <w:rPr>
        <w:rFonts w:ascii="Arial" w:hAnsi="Arial"/>
        <w:color w:val="7E7E7E" w:themeColor="text1" w:themeShade="95" w:themeTint="80"/>
        <w:sz w:val="22"/>
      </w:rPr>
    </w:tblStylePr>
  </w:style>
  <w:style w:type="table" w:customStyle="1" w:styleId="100">
    <w:name w:val="Grid Table 6 Colorful - Accent 1"/>
    <w:basedOn w:val="19"/>
    <w:uiPriority w:val="99"/>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108" w:type="dxa"/>
        <w:bottom w:w="0" w:type="dxa"/>
        <w:right w:w="108" w:type="dxa"/>
      </w:tblCellMar>
    </w:tblPr>
    <w:tblStylePr w:type="firstRow">
      <w:rPr>
        <w:b/>
        <w:color w:val="ACCCE9" w:themeColor="accent1" w:themeShade="95" w:themeTint="80"/>
      </w:rPr>
      <w:tcPr>
        <w:tcBorders>
          <w:bottom w:val="single" w:color="ACCCE9" w:themeColor="accent1" w:themeTint="80" w:sz="12" w:space="0"/>
        </w:tcBorders>
      </w:tcPr>
    </w:tblStylePr>
    <w:tblStylePr w:type="lastRow">
      <w:rPr>
        <w:b/>
        <w:color w:val="ACCCE9" w:themeColor="accent1" w:themeShade="95" w:themeTint="80"/>
      </w:rPr>
    </w:tblStylePr>
    <w:tblStylePr w:type="firstCol">
      <w:rPr>
        <w:b/>
        <w:color w:val="ACCCE9" w:themeColor="accent1" w:themeShade="95" w:themeTint="80"/>
      </w:rPr>
    </w:tblStylePr>
    <w:tblStylePr w:type="lastCol">
      <w:rPr>
        <w:b/>
        <w:color w:val="ACCCE9" w:themeColor="accent1" w:themeShade="95" w:themeTint="80"/>
      </w:rPr>
    </w:tblStylePr>
    <w:tblStylePr w:type="band1Vert">
      <w:tcPr>
        <w:shd w:val="clear" w:color="FFFFFF" w:fill="DDEAF6" w:themeFill="accent1" w:themeFillTint="34"/>
      </w:tcPr>
    </w:tblStylePr>
    <w:tblStylePr w:type="band1Horz">
      <w:rPr>
        <w:rFonts w:ascii="Arial" w:hAnsi="Arial"/>
        <w:color w:val="ACCCE9" w:themeColor="accent1" w:themeShade="95" w:themeTint="80"/>
        <w:sz w:val="22"/>
      </w:rPr>
      <w:tcPr>
        <w:shd w:val="clear" w:color="FFFFFF" w:fill="DDEAF6" w:themeFill="accent1" w:themeFillTint="34"/>
      </w:tcPr>
    </w:tblStylePr>
    <w:tblStylePr w:type="band2Horz">
      <w:rPr>
        <w:rFonts w:ascii="Arial" w:hAnsi="Arial"/>
        <w:color w:val="ACCCE9" w:themeColor="accent1" w:themeShade="95" w:themeTint="80"/>
        <w:sz w:val="22"/>
      </w:rPr>
    </w:tblStylePr>
  </w:style>
  <w:style w:type="table" w:customStyle="1" w:styleId="101">
    <w:name w:val="Grid Table 6 Colorful - Accent 2"/>
    <w:basedOn w:val="19"/>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F4B285" w:themeColor="accent2" w:themeShade="95" w:themeTint="97"/>
      </w:rPr>
      <w:tcPr>
        <w:tcBorders>
          <w:bottom w:val="single" w:color="F4B285" w:themeColor="accent2" w:themeTint="97" w:sz="12" w:space="0"/>
        </w:tcBorders>
      </w:tcPr>
    </w:tblStylePr>
    <w:tblStylePr w:type="lastRow">
      <w:rPr>
        <w:b/>
        <w:color w:val="F4B285" w:themeColor="accent2" w:themeShade="95" w:themeTint="97"/>
      </w:rPr>
    </w:tblStylePr>
    <w:tblStylePr w:type="firstCol">
      <w:rPr>
        <w:b/>
        <w:color w:val="F4B285" w:themeColor="accent2" w:themeShade="95" w:themeTint="97"/>
      </w:rPr>
    </w:tblStylePr>
    <w:tblStylePr w:type="lastCol">
      <w:rPr>
        <w:b/>
        <w:color w:val="F4B285" w:themeColor="accent2" w:themeShade="95" w:themeTint="97"/>
      </w:rPr>
    </w:tblStylePr>
    <w:tblStylePr w:type="band1Vert">
      <w:tcPr>
        <w:shd w:val="clear" w:color="FFFFFF" w:fill="FBE5D6" w:themeFill="accent2" w:themeFillTint="32"/>
      </w:tcPr>
    </w:tblStylePr>
    <w:tblStylePr w:type="band1Horz">
      <w:rPr>
        <w:rFonts w:ascii="Arial" w:hAnsi="Arial"/>
        <w:color w:val="F4B285" w:themeColor="accent2" w:themeShade="95" w:themeTint="97"/>
        <w:sz w:val="22"/>
      </w:rPr>
      <w:tcPr>
        <w:shd w:val="clear" w:color="FFFFFF" w:fill="FBE5D6" w:themeFill="accent2" w:themeFillTint="32"/>
      </w:tcPr>
    </w:tblStylePr>
    <w:tblStylePr w:type="band2Horz">
      <w:rPr>
        <w:rFonts w:ascii="Arial" w:hAnsi="Arial"/>
        <w:color w:val="F4B285" w:themeColor="accent2" w:themeShade="95" w:themeTint="97"/>
        <w:sz w:val="22"/>
      </w:rPr>
    </w:tblStylePr>
  </w:style>
  <w:style w:type="table" w:customStyle="1" w:styleId="102">
    <w:name w:val="Grid Table 6 Colorful - Accent 3"/>
    <w:basedOn w:val="19"/>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A5A5A5" w:themeColor="accent3" w:themeShade="95" w:themeTint="FE"/>
      </w:rPr>
      <w:tcPr>
        <w:tcBorders>
          <w:bottom w:val="single" w:color="A5A5A5" w:themeColor="accent3" w:themeTint="FE" w:sz="12" w:space="0"/>
        </w:tcBorders>
      </w:tcPr>
    </w:tblStylePr>
    <w:tblStylePr w:type="lastRow">
      <w:rPr>
        <w:b/>
        <w:color w:val="A5A5A5" w:themeColor="accent3" w:themeShade="95" w:themeTint="FE"/>
      </w:rPr>
    </w:tblStylePr>
    <w:tblStylePr w:type="firstCol">
      <w:rPr>
        <w:b/>
        <w:color w:val="A5A5A5" w:themeColor="accent3" w:themeShade="95" w:themeTint="FE"/>
      </w:rPr>
    </w:tblStylePr>
    <w:tblStylePr w:type="lastCol">
      <w:rPr>
        <w:b/>
        <w:color w:val="A5A5A5" w:themeColor="accent3" w:themeShade="95" w:themeTint="FE"/>
      </w:rPr>
    </w:tblStylePr>
    <w:tblStylePr w:type="band1Vert">
      <w:tcPr>
        <w:shd w:val="clear" w:color="FFFFFF" w:fill="ECECEC" w:themeFill="accent3" w:themeFillTint="34"/>
      </w:tcPr>
    </w:tblStylePr>
    <w:tblStylePr w:type="band1Horz">
      <w:rPr>
        <w:rFonts w:ascii="Arial" w:hAnsi="Arial"/>
        <w:color w:val="A5A5A5" w:themeColor="accent3" w:themeShade="95" w:themeTint="FE"/>
        <w:sz w:val="22"/>
      </w:rPr>
      <w:tcPr>
        <w:shd w:val="clear" w:color="FFFFFF" w:fill="ECECEC" w:themeFill="accent3" w:themeFillTint="34"/>
      </w:tcPr>
    </w:tblStylePr>
    <w:tblStylePr w:type="band2Horz">
      <w:rPr>
        <w:rFonts w:ascii="Arial" w:hAnsi="Arial"/>
        <w:color w:val="A5A5A5" w:themeColor="accent3" w:themeShade="95" w:themeTint="FE"/>
        <w:sz w:val="22"/>
      </w:rPr>
    </w:tblStylePr>
  </w:style>
  <w:style w:type="table" w:customStyle="1" w:styleId="103">
    <w:name w:val="Grid Table 6 Colorful - Accent 4"/>
    <w:basedOn w:val="19"/>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FFD864" w:themeColor="accent4" w:themeShade="95" w:themeTint="9A"/>
      </w:rPr>
      <w:tcPr>
        <w:tcBorders>
          <w:bottom w:val="single" w:color="FFD864" w:themeColor="accent4" w:themeTint="9A" w:sz="12" w:space="0"/>
        </w:tcBorders>
      </w:tcPr>
    </w:tblStylePr>
    <w:tblStylePr w:type="lastRow">
      <w:rPr>
        <w:b/>
        <w:color w:val="FFD864" w:themeColor="accent4" w:themeShade="95" w:themeTint="9A"/>
      </w:rPr>
    </w:tblStylePr>
    <w:tblStylePr w:type="firstCol">
      <w:rPr>
        <w:b/>
        <w:color w:val="FFD864" w:themeColor="accent4" w:themeShade="95" w:themeTint="9A"/>
      </w:rPr>
    </w:tblStylePr>
    <w:tblStylePr w:type="lastCol">
      <w:rPr>
        <w:b/>
        <w:color w:val="FFD864" w:themeColor="accent4" w:themeShade="95" w:themeTint="9A"/>
      </w:rPr>
    </w:tblStylePr>
    <w:tblStylePr w:type="band1Vert">
      <w:tcPr>
        <w:shd w:val="clear" w:color="FFFFFF" w:fill="FEF2CA" w:themeFill="accent4" w:themeFillTint="34"/>
      </w:tcPr>
    </w:tblStylePr>
    <w:tblStylePr w:type="band1Horz">
      <w:rPr>
        <w:rFonts w:ascii="Arial" w:hAnsi="Arial"/>
        <w:color w:val="FFD864" w:themeColor="accent4" w:themeShade="95" w:themeTint="9A"/>
        <w:sz w:val="22"/>
      </w:rPr>
      <w:tcPr>
        <w:shd w:val="clear" w:color="FFFFFF" w:fill="FEF2CA" w:themeFill="accent4" w:themeFillTint="34"/>
      </w:tcPr>
    </w:tblStylePr>
    <w:tblStylePr w:type="band2Horz">
      <w:rPr>
        <w:rFonts w:ascii="Arial" w:hAnsi="Arial"/>
        <w:color w:val="FFD864" w:themeColor="accent4" w:themeShade="95" w:themeTint="9A"/>
        <w:sz w:val="22"/>
      </w:rPr>
    </w:tblStylePr>
  </w:style>
  <w:style w:type="table" w:customStyle="1" w:styleId="104">
    <w:name w:val="Grid Table 6 Colorful - Accent 5"/>
    <w:basedOn w:val="19"/>
    <w:uiPriority w:val="99"/>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244175" w:themeColor="accent5" w:themeShade="95"/>
      </w:rPr>
      <w:tcPr>
        <w:tcBorders>
          <w:bottom w:val="single" w:color="4472C4" w:themeColor="accent5" w:sz="12" w:space="0"/>
        </w:tcBorders>
      </w:tcPr>
    </w:tblStylePr>
    <w:tblStylePr w:type="lastRow">
      <w:rPr>
        <w:b/>
        <w:color w:val="244175" w:themeColor="accent5" w:themeShade="95"/>
      </w:rPr>
    </w:tblStylePr>
    <w:tblStylePr w:type="firstCol">
      <w:rPr>
        <w:b/>
        <w:color w:val="244175" w:themeColor="accent5" w:themeShade="95"/>
      </w:rPr>
    </w:tblStylePr>
    <w:tblStylePr w:type="lastCol">
      <w:rPr>
        <w:b/>
        <w:color w:val="244175" w:themeColor="accent5" w:themeShade="95"/>
      </w:rPr>
    </w:tblStylePr>
    <w:tblStylePr w:type="band1Vert">
      <w:tcPr>
        <w:shd w:val="clear" w:color="FFFFFF" w:fill="D8E2F2" w:themeFill="accent5" w:themeFillTint="34"/>
      </w:tcPr>
    </w:tblStylePr>
    <w:tblStylePr w:type="band1Horz">
      <w:rPr>
        <w:rFonts w:ascii="Arial" w:hAnsi="Arial"/>
        <w:color w:val="244175" w:themeColor="accent5" w:themeShade="95"/>
        <w:sz w:val="22"/>
      </w:rPr>
      <w:tcPr>
        <w:shd w:val="clear" w:color="FFFFFF" w:fill="D8E2F2" w:themeFill="accent5" w:themeFillTint="34"/>
      </w:tcPr>
    </w:tblStylePr>
    <w:tblStylePr w:type="band2Horz">
      <w:rPr>
        <w:rFonts w:ascii="Arial" w:hAnsi="Arial"/>
        <w:color w:val="244175" w:themeColor="accent5" w:themeShade="95"/>
        <w:sz w:val="22"/>
      </w:rPr>
    </w:tblStylePr>
  </w:style>
  <w:style w:type="table" w:customStyle="1" w:styleId="105">
    <w:name w:val="Grid Table 6 Colorful - Accent 6"/>
    <w:basedOn w:val="19"/>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244175" w:themeColor="accent5" w:themeShade="95"/>
      </w:rPr>
      <w:tcPr>
        <w:tcBorders>
          <w:bottom w:val="single" w:color="70AD47" w:themeColor="accent6" w:sz="12" w:space="0"/>
        </w:tcBorders>
      </w:tcPr>
    </w:tblStylePr>
    <w:tblStylePr w:type="lastRow">
      <w:rPr>
        <w:b/>
        <w:color w:val="244175" w:themeColor="accent5" w:themeShade="95"/>
      </w:rPr>
    </w:tblStylePr>
    <w:tblStylePr w:type="firstCol">
      <w:rPr>
        <w:b/>
        <w:color w:val="244175" w:themeColor="accent5" w:themeShade="95"/>
      </w:rPr>
    </w:tblStylePr>
    <w:tblStylePr w:type="lastCol">
      <w:rPr>
        <w:b/>
        <w:color w:val="244175" w:themeColor="accent5" w:themeShade="95"/>
      </w:rPr>
    </w:tblStylePr>
    <w:tblStylePr w:type="band1Vert">
      <w:tcPr>
        <w:shd w:val="clear" w:color="FFFFFF" w:fill="E1EFD8" w:themeFill="accent6" w:themeFillTint="34"/>
      </w:tcPr>
    </w:tblStylePr>
    <w:tblStylePr w:type="band1Horz">
      <w:rPr>
        <w:rFonts w:ascii="Arial" w:hAnsi="Arial"/>
        <w:color w:val="244175" w:themeColor="accent5" w:themeShade="95"/>
        <w:sz w:val="22"/>
      </w:rPr>
      <w:tcPr>
        <w:shd w:val="clear" w:color="FFFFFF" w:fill="E1EFD8" w:themeFill="accent6" w:themeFillTint="34"/>
      </w:tcPr>
    </w:tblStylePr>
    <w:tblStylePr w:type="band2Horz">
      <w:rPr>
        <w:rFonts w:ascii="Arial" w:hAnsi="Arial"/>
        <w:color w:val="244175" w:themeColor="accent5" w:themeShade="95"/>
        <w:sz w:val="22"/>
      </w:rPr>
    </w:tblStylePr>
  </w:style>
  <w:style w:type="table" w:customStyle="1" w:styleId="106">
    <w:name w:val="Grid Table 7 Colorful"/>
    <w:basedOn w:val="19"/>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F1F1F1" w:themeFill="text1" w:themeFillTint="0D"/>
      </w:tcPr>
    </w:tblStylePr>
    <w:tblStylePr w:type="band1Horz">
      <w:rPr>
        <w:rFonts w:ascii="Arial" w:hAnsi="Arial"/>
        <w:color w:val="7E7E7E" w:themeColor="text1" w:themeShade="95" w:themeTint="80"/>
        <w:sz w:val="22"/>
      </w:rPr>
      <w:tcPr>
        <w:shd w:val="clear" w:color="FFFFFF" w:fill="F1F1F1" w:themeFill="text1" w:themeFillTint="0D"/>
      </w:tcPr>
    </w:tblStylePr>
    <w:tblStylePr w:type="band2Horz">
      <w:rPr>
        <w:rFonts w:ascii="Arial" w:hAnsi="Arial"/>
        <w:color w:val="7E7E7E" w:themeColor="text1" w:themeShade="95" w:themeTint="80"/>
        <w:sz w:val="22"/>
      </w:rPr>
    </w:tblStylePr>
  </w:style>
  <w:style w:type="table" w:customStyle="1" w:styleId="107">
    <w:name w:val="Grid Table 7 Colorful - Accent 1"/>
    <w:basedOn w:val="19"/>
    <w:uiPriority w:val="99"/>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108" w:type="dxa"/>
        <w:bottom w:w="0" w:type="dxa"/>
        <w:right w:w="108" w:type="dxa"/>
      </w:tblCellMar>
    </w:tblPr>
    <w:tblStylePr w:type="firstRow">
      <w:rPr>
        <w:rFonts w:ascii="Arial" w:hAnsi="Arial"/>
        <w:b/>
        <w:color w:val="ACCCE9" w:themeColor="accent1" w:themeShade="95" w:themeTint="80"/>
        <w:sz w:val="22"/>
      </w:rPr>
      <w:tcPr>
        <w:tcBorders>
          <w:top w:val="nil"/>
          <w:left w:val="nil"/>
          <w:bottom w:val="single" w:color="ACCCE9" w:themeColor="accent1" w:themeTint="80" w:sz="4" w:space="0"/>
          <w:right w:val="nil"/>
        </w:tcBorders>
        <w:shd w:val="clear" w:color="FFFFFF" w:fill="FFFFFF" w:themeFill="light1"/>
      </w:tcPr>
    </w:tblStylePr>
    <w:tblStylePr w:type="lastRow">
      <w:rPr>
        <w:rFonts w:ascii="Arial" w:hAnsi="Arial"/>
        <w:b/>
        <w:color w:val="ACCCE9" w:themeColor="accent1" w:themeShade="95" w:themeTint="80"/>
        <w:sz w:val="22"/>
      </w:rPr>
      <w:tcPr>
        <w:tcBorders>
          <w:top w:val="single" w:color="ACCCE9" w:themeColor="accent1" w:themeTint="80" w:sz="4" w:space="0"/>
          <w:left w:val="nil"/>
          <w:bottom w:val="nil"/>
          <w:right w:val="nil"/>
        </w:tcBorders>
        <w:shd w:val="clear" w:color="FFFFFF" w:fill="FFFFFF" w:themeFill="light1"/>
      </w:tcPr>
    </w:tblStylePr>
    <w:tblStylePr w:type="firstCol">
      <w:pPr>
        <w:jc w:val="right"/>
      </w:pPr>
      <w:rPr>
        <w:rFonts w:ascii="Arial" w:hAnsi="Arial"/>
        <w:i/>
        <w:color w:val="ACCCE9" w:themeColor="accent1" w:themeShade="95" w:themeTint="80"/>
        <w:sz w:val="22"/>
      </w:rPr>
      <w:tcPr>
        <w:tcBorders>
          <w:top w:val="nil"/>
          <w:left w:val="nil"/>
          <w:bottom w:val="nil"/>
          <w:right w:val="single" w:color="ACCCE9" w:themeColor="accent1" w:themeTint="80" w:sz="4" w:space="0"/>
        </w:tcBorders>
        <w:shd w:val="clear" w:color="FFFFFF" w:fill="FFFFFF"/>
      </w:tcPr>
    </w:tblStylePr>
    <w:tblStylePr w:type="lastCol">
      <w:rPr>
        <w:rFonts w:ascii="Arial" w:hAnsi="Arial"/>
        <w:i/>
        <w:color w:val="ACCCE9" w:themeColor="accent1" w:themeShade="95" w:themeTint="80"/>
        <w:sz w:val="22"/>
      </w:rPr>
      <w:tcPr>
        <w:tcBorders>
          <w:top w:val="nil"/>
          <w:left w:val="single" w:color="ACCCE9" w:themeColor="accent1" w:themeTint="80" w:sz="4" w:space="0"/>
          <w:bottom w:val="nil"/>
          <w:right w:val="nil"/>
        </w:tcBorders>
        <w:shd w:val="clear" w:color="FFFFFF" w:fill="FFFFFF"/>
      </w:tcPr>
    </w:tblStylePr>
    <w:tblStylePr w:type="band1Vert">
      <w:tcPr>
        <w:shd w:val="clear" w:color="FFFFFF" w:fill="DDEAF6" w:themeFill="accent1" w:themeFillTint="34"/>
      </w:tcPr>
    </w:tblStylePr>
    <w:tblStylePr w:type="band1Horz">
      <w:rPr>
        <w:rFonts w:ascii="Arial" w:hAnsi="Arial"/>
        <w:color w:val="ACCCE9" w:themeColor="accent1" w:themeShade="95" w:themeTint="80"/>
        <w:sz w:val="22"/>
      </w:rPr>
      <w:tcPr>
        <w:shd w:val="clear" w:color="FFFFFF" w:fill="DDEAF6" w:themeFill="accent1" w:themeFillTint="34"/>
      </w:tcPr>
    </w:tblStylePr>
    <w:tblStylePr w:type="band2Horz">
      <w:rPr>
        <w:rFonts w:ascii="Arial" w:hAnsi="Arial"/>
        <w:color w:val="ACCCE9" w:themeColor="accent1" w:themeShade="95" w:themeTint="80"/>
        <w:sz w:val="22"/>
      </w:rPr>
    </w:tblStylePr>
  </w:style>
  <w:style w:type="table" w:customStyle="1" w:styleId="108">
    <w:name w:val="Grid Table 7 Colorful - Accent 2"/>
    <w:basedOn w:val="19"/>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rFonts w:ascii="Arial" w:hAnsi="Arial"/>
        <w:b/>
        <w:color w:val="F4B285" w:themeColor="accent2" w:themeShade="95" w:themeTint="97"/>
        <w:sz w:val="22"/>
      </w:rPr>
      <w:tcPr>
        <w:tcBorders>
          <w:top w:val="nil"/>
          <w:left w:val="nil"/>
          <w:bottom w:val="single" w:color="F4B285" w:themeColor="accent2" w:themeTint="97" w:sz="4" w:space="0"/>
          <w:right w:val="nil"/>
        </w:tcBorders>
        <w:shd w:val="clear" w:color="FFFFFF" w:fill="FFFFFF" w:themeFill="light1"/>
      </w:tcPr>
    </w:tblStylePr>
    <w:tblStylePr w:type="lastRow">
      <w:rPr>
        <w:rFonts w:ascii="Arial" w:hAnsi="Arial"/>
        <w:b/>
        <w:color w:val="F4B285" w:themeColor="accent2" w:themeShade="95" w:themeTint="97"/>
        <w:sz w:val="22"/>
      </w:rPr>
      <w:tcPr>
        <w:tcBorders>
          <w:top w:val="single" w:color="F4B285" w:themeColor="accent2" w:themeTint="97" w:sz="4" w:space="0"/>
          <w:left w:val="nil"/>
          <w:bottom w:val="nil"/>
          <w:right w:val="nil"/>
        </w:tcBorders>
        <w:shd w:val="clear" w:color="FFFFFF" w:fill="FFFFFF" w:themeFill="light1"/>
      </w:tcPr>
    </w:tblStylePr>
    <w:tblStylePr w:type="firstCol">
      <w:pPr>
        <w:jc w:val="right"/>
      </w:pPr>
      <w:rPr>
        <w:rFonts w:ascii="Arial" w:hAnsi="Arial"/>
        <w:i/>
        <w:color w:val="F4B285" w:themeColor="accent2" w:themeShade="95" w:themeTint="97"/>
        <w:sz w:val="22"/>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Shade="95" w:themeTint="97"/>
        <w:sz w:val="22"/>
      </w:rPr>
      <w:tcPr>
        <w:tcBorders>
          <w:top w:val="nil"/>
          <w:left w:val="single" w:color="F4B285" w:themeColor="accent2" w:themeTint="97" w:sz="4" w:space="0"/>
          <w:bottom w:val="nil"/>
          <w:right w:val="nil"/>
        </w:tcBorders>
        <w:shd w:val="clear" w:color="FFFFFF" w:fill="FFFFFF"/>
      </w:tcPr>
    </w:tblStylePr>
    <w:tblStylePr w:type="band1Vert">
      <w:tcPr>
        <w:shd w:val="clear" w:color="FFFFFF" w:fill="FBE5D6" w:themeFill="accent2" w:themeFillTint="32"/>
      </w:tcPr>
    </w:tblStylePr>
    <w:tblStylePr w:type="band1Horz">
      <w:rPr>
        <w:rFonts w:ascii="Arial" w:hAnsi="Arial"/>
        <w:color w:val="F4B285" w:themeColor="accent2" w:themeShade="95" w:themeTint="97"/>
        <w:sz w:val="22"/>
      </w:rPr>
      <w:tcPr>
        <w:shd w:val="clear" w:color="FFFFFF" w:fill="FBE5D6" w:themeFill="accent2" w:themeFillTint="32"/>
      </w:tcPr>
    </w:tblStylePr>
    <w:tblStylePr w:type="band2Horz">
      <w:rPr>
        <w:rFonts w:ascii="Arial" w:hAnsi="Arial"/>
        <w:color w:val="F4B285" w:themeColor="accent2" w:themeShade="95" w:themeTint="97"/>
        <w:sz w:val="22"/>
      </w:rPr>
    </w:tblStylePr>
  </w:style>
  <w:style w:type="table" w:customStyle="1" w:styleId="109">
    <w:name w:val="Grid Table 7 Colorful - Accent 3"/>
    <w:basedOn w:val="19"/>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rFonts w:ascii="Arial" w:hAnsi="Arial"/>
        <w:b/>
        <w:color w:val="A5A5A5" w:themeColor="accent3" w:themeShade="95" w:themeTint="FE"/>
        <w:sz w:val="22"/>
      </w:rPr>
      <w:tcPr>
        <w:tcBorders>
          <w:top w:val="nil"/>
          <w:left w:val="nil"/>
          <w:bottom w:val="single" w:color="A5A5A5" w:themeColor="accent3" w:themeTint="FE" w:sz="4" w:space="0"/>
          <w:right w:val="nil"/>
        </w:tcBorders>
        <w:shd w:val="clear" w:color="FFFFFF" w:fill="FFFFFF" w:themeFill="light1"/>
      </w:tcPr>
    </w:tblStylePr>
    <w:tblStylePr w:type="lastRow">
      <w:rPr>
        <w:rFonts w:ascii="Arial" w:hAnsi="Arial"/>
        <w:b/>
        <w:color w:val="A5A5A5" w:themeColor="accent3" w:themeShade="95" w:themeTint="FE"/>
        <w:sz w:val="22"/>
      </w:rPr>
      <w:tcPr>
        <w:tcBorders>
          <w:top w:val="single" w:color="A5A5A5" w:themeColor="accent3" w:themeTint="FE" w:sz="4" w:space="0"/>
          <w:left w:val="nil"/>
          <w:bottom w:val="nil"/>
          <w:right w:val="nil"/>
        </w:tcBorders>
        <w:shd w:val="clear" w:color="FFFFFF" w:fill="FFFFFF" w:themeFill="light1"/>
      </w:tcPr>
    </w:tblStylePr>
    <w:tblStylePr w:type="firstCol">
      <w:pPr>
        <w:jc w:val="right"/>
      </w:pPr>
      <w:rPr>
        <w:rFonts w:ascii="Arial" w:hAnsi="Arial"/>
        <w:i/>
        <w:color w:val="A5A5A5" w:themeColor="accent3" w:themeShade="95" w:themeTint="FE"/>
        <w:sz w:val="22"/>
      </w:rPr>
      <w:tcPr>
        <w:tcBorders>
          <w:top w:val="nil"/>
          <w:left w:val="nil"/>
          <w:bottom w:val="nil"/>
          <w:right w:val="single" w:color="A5A5A5" w:themeColor="accent3" w:themeTint="FE" w:sz="4" w:space="0"/>
        </w:tcBorders>
        <w:shd w:val="clear" w:color="FFFFFF" w:fill="FFFFFF"/>
      </w:tcPr>
    </w:tblStylePr>
    <w:tblStylePr w:type="lastCol">
      <w:rPr>
        <w:rFonts w:ascii="Arial" w:hAnsi="Arial"/>
        <w:i/>
        <w:color w:val="A5A5A5" w:themeColor="accent3" w:themeShade="95" w:themeTint="FE"/>
        <w:sz w:val="22"/>
      </w:rPr>
      <w:tcPr>
        <w:tcBorders>
          <w:top w:val="nil"/>
          <w:left w:val="single" w:color="A5A5A5" w:themeColor="accent3" w:themeTint="FE" w:sz="4" w:space="0"/>
          <w:bottom w:val="nil"/>
          <w:right w:val="nil"/>
        </w:tcBorders>
        <w:shd w:val="clear" w:color="FFFFFF" w:fill="FFFFFF"/>
      </w:tcPr>
    </w:tblStylePr>
    <w:tblStylePr w:type="band1Vert">
      <w:tcPr>
        <w:shd w:val="clear" w:color="FFFFFF" w:fill="ECECEC" w:themeFill="accent3" w:themeFillTint="34"/>
      </w:tcPr>
    </w:tblStylePr>
    <w:tblStylePr w:type="band1Horz">
      <w:rPr>
        <w:rFonts w:ascii="Arial" w:hAnsi="Arial"/>
        <w:color w:val="A5A5A5" w:themeColor="accent3" w:themeShade="95" w:themeTint="FE"/>
        <w:sz w:val="22"/>
      </w:rPr>
      <w:tcPr>
        <w:shd w:val="clear" w:color="FFFFFF" w:fill="ECECEC" w:themeFill="accent3" w:themeFillTint="34"/>
      </w:tcPr>
    </w:tblStylePr>
    <w:tblStylePr w:type="band2Horz">
      <w:rPr>
        <w:rFonts w:ascii="Arial" w:hAnsi="Arial"/>
        <w:color w:val="A5A5A5" w:themeColor="accent3" w:themeShade="95" w:themeTint="FE"/>
        <w:sz w:val="22"/>
      </w:rPr>
    </w:tblStylePr>
  </w:style>
  <w:style w:type="table" w:customStyle="1" w:styleId="110">
    <w:name w:val="Grid Table 7 Colorful - Accent 4"/>
    <w:basedOn w:val="19"/>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rFonts w:ascii="Arial" w:hAnsi="Arial"/>
        <w:b/>
        <w:color w:val="FFD864" w:themeColor="accent4" w:themeShade="95" w:themeTint="9A"/>
        <w:sz w:val="22"/>
      </w:rPr>
      <w:tcPr>
        <w:tcBorders>
          <w:top w:val="nil"/>
          <w:left w:val="nil"/>
          <w:bottom w:val="single" w:color="FFD864" w:themeColor="accent4" w:themeTint="9A" w:sz="4" w:space="0"/>
          <w:right w:val="nil"/>
        </w:tcBorders>
        <w:shd w:val="clear" w:color="FFFFFF" w:fill="FFFFFF" w:themeFill="light1"/>
      </w:tcPr>
    </w:tblStylePr>
    <w:tblStylePr w:type="lastRow">
      <w:rPr>
        <w:rFonts w:ascii="Arial" w:hAnsi="Arial"/>
        <w:b/>
        <w:color w:val="FFD864" w:themeColor="accent4" w:themeShade="95" w:themeTint="9A"/>
        <w:sz w:val="22"/>
      </w:rPr>
      <w:tcPr>
        <w:tcBorders>
          <w:top w:val="single" w:color="FFD864" w:themeColor="accent4" w:themeTint="9A" w:sz="4" w:space="0"/>
          <w:left w:val="nil"/>
          <w:bottom w:val="nil"/>
          <w:right w:val="nil"/>
        </w:tcBorders>
        <w:shd w:val="clear" w:color="FFFFFF" w:fill="FFFFFF" w:themeFill="light1"/>
      </w:tcPr>
    </w:tblStylePr>
    <w:tblStylePr w:type="firstCol">
      <w:pPr>
        <w:jc w:val="right"/>
      </w:pPr>
      <w:rPr>
        <w:rFonts w:ascii="Arial" w:hAnsi="Arial"/>
        <w:i/>
        <w:color w:val="FFD864" w:themeColor="accent4" w:themeShade="95" w:themeTint="9A"/>
        <w:sz w:val="22"/>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864" w:themeColor="accent4" w:themeShade="95" w:themeTint="9A"/>
        <w:sz w:val="22"/>
      </w:rPr>
      <w:tcPr>
        <w:tcBorders>
          <w:top w:val="nil"/>
          <w:left w:val="single" w:color="FFD864" w:themeColor="accent4" w:themeTint="9A" w:sz="4" w:space="0"/>
          <w:bottom w:val="nil"/>
          <w:right w:val="nil"/>
        </w:tcBorders>
        <w:shd w:val="clear" w:color="FFFFFF" w:fill="FFFFFF"/>
      </w:tcPr>
    </w:tblStylePr>
    <w:tblStylePr w:type="band1Vert">
      <w:tcPr>
        <w:shd w:val="clear" w:color="FFFFFF" w:fill="FEF2CA" w:themeFill="accent4" w:themeFillTint="34"/>
      </w:tcPr>
    </w:tblStylePr>
    <w:tblStylePr w:type="band1Horz">
      <w:rPr>
        <w:rFonts w:ascii="Arial" w:hAnsi="Arial"/>
        <w:color w:val="FFD864" w:themeColor="accent4" w:themeShade="95" w:themeTint="9A"/>
        <w:sz w:val="22"/>
      </w:rPr>
      <w:tcPr>
        <w:shd w:val="clear" w:color="FFFFFF" w:fill="FEF2CA" w:themeFill="accent4" w:themeFillTint="34"/>
      </w:tcPr>
    </w:tblStylePr>
    <w:tblStylePr w:type="band2Horz">
      <w:rPr>
        <w:rFonts w:ascii="Arial" w:hAnsi="Arial"/>
        <w:color w:val="FFD864" w:themeColor="accent4" w:themeShade="95" w:themeTint="9A"/>
        <w:sz w:val="22"/>
      </w:rPr>
    </w:tblStylePr>
  </w:style>
  <w:style w:type="table" w:customStyle="1" w:styleId="111">
    <w:name w:val="Grid Table 7 Colorful - Accent 5"/>
    <w:basedOn w:val="19"/>
    <w:uiPriority w:val="99"/>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rFonts w:ascii="Arial" w:hAnsi="Arial"/>
        <w:b/>
        <w:color w:val="244175" w:themeColor="accent5" w:themeShade="95"/>
        <w:sz w:val="22"/>
      </w:rPr>
      <w:tcPr>
        <w:tcBorders>
          <w:top w:val="nil"/>
          <w:left w:val="nil"/>
          <w:bottom w:val="single" w:color="95AFDD" w:themeColor="accent5" w:themeTint="90" w:sz="4" w:space="0"/>
          <w:right w:val="nil"/>
        </w:tcBorders>
        <w:shd w:val="clear" w:color="FFFFFF" w:fill="FFFFFF" w:themeFill="light1"/>
      </w:tcPr>
    </w:tblStylePr>
    <w:tblStylePr w:type="lastRow">
      <w:rPr>
        <w:rFonts w:ascii="Arial" w:hAnsi="Arial"/>
        <w:b/>
        <w:color w:val="244175" w:themeColor="accent5" w:themeShade="95"/>
        <w:sz w:val="22"/>
      </w:rPr>
      <w:tcPr>
        <w:tcBorders>
          <w:top w:val="single" w:color="95AFDD" w:themeColor="accent5" w:themeTint="90" w:sz="4" w:space="0"/>
          <w:left w:val="nil"/>
          <w:bottom w:val="nil"/>
          <w:right w:val="nil"/>
        </w:tcBorders>
        <w:shd w:val="clear" w:color="FFFFFF" w:fill="FFFFFF" w:themeFill="light1"/>
      </w:tcPr>
    </w:tblStylePr>
    <w:tblStylePr w:type="firstCol">
      <w:pPr>
        <w:jc w:val="right"/>
      </w:pPr>
      <w:rPr>
        <w:rFonts w:ascii="Arial" w:hAnsi="Arial"/>
        <w:i/>
        <w:color w:val="244175" w:themeColor="accent5" w:themeShade="95"/>
        <w:sz w:val="22"/>
      </w:rPr>
      <w:tcPr>
        <w:tcBorders>
          <w:top w:val="nil"/>
          <w:left w:val="nil"/>
          <w:bottom w:val="nil"/>
          <w:right w:val="single" w:color="95AFDD" w:themeColor="accent5" w:themeTint="90" w:sz="4" w:space="0"/>
        </w:tcBorders>
        <w:shd w:val="clear" w:color="FFFFFF" w:fill="FFFFFF"/>
      </w:tcPr>
    </w:tblStylePr>
    <w:tblStylePr w:type="lastCol">
      <w:rPr>
        <w:rFonts w:ascii="Arial" w:hAnsi="Arial"/>
        <w:i/>
        <w:color w:val="244175" w:themeColor="accent5" w:themeShade="95"/>
        <w:sz w:val="22"/>
      </w:rPr>
      <w:tcPr>
        <w:tcBorders>
          <w:top w:val="nil"/>
          <w:left w:val="single" w:color="95AFDD" w:themeColor="accent5" w:themeTint="90" w:sz="4" w:space="0"/>
          <w:bottom w:val="nil"/>
          <w:right w:val="nil"/>
        </w:tcBorders>
        <w:shd w:val="clear" w:color="FFFFFF" w:fill="FFFFFF"/>
      </w:tcPr>
    </w:tblStylePr>
    <w:tblStylePr w:type="band1Vert">
      <w:tcPr>
        <w:shd w:val="clear" w:color="FFFFFF" w:fill="D8E2F2" w:themeFill="accent5" w:themeFillTint="34"/>
      </w:tcPr>
    </w:tblStylePr>
    <w:tblStylePr w:type="band1Horz">
      <w:rPr>
        <w:rFonts w:ascii="Arial" w:hAnsi="Arial"/>
        <w:color w:val="244175" w:themeColor="accent5" w:themeShade="95"/>
        <w:sz w:val="22"/>
      </w:rPr>
      <w:tcPr>
        <w:shd w:val="clear" w:color="FFFFFF" w:fill="D8E2F2" w:themeFill="accent5" w:themeFillTint="34"/>
      </w:tcPr>
    </w:tblStylePr>
    <w:tblStylePr w:type="band2Horz">
      <w:rPr>
        <w:rFonts w:ascii="Arial" w:hAnsi="Arial"/>
        <w:color w:val="244175" w:themeColor="accent5" w:themeShade="95"/>
        <w:sz w:val="22"/>
      </w:rPr>
    </w:tblStylePr>
  </w:style>
  <w:style w:type="table" w:customStyle="1" w:styleId="112">
    <w:name w:val="Grid Table 7 Colorful - Accent 6"/>
    <w:basedOn w:val="19"/>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rFonts w:ascii="Arial" w:hAnsi="Arial"/>
        <w:b/>
        <w:color w:val="416529" w:themeColor="accent6" w:themeShade="95"/>
        <w:sz w:val="22"/>
      </w:rPr>
      <w:tcPr>
        <w:tcBorders>
          <w:top w:val="nil"/>
          <w:left w:val="nil"/>
          <w:bottom w:val="single" w:color="ADD394" w:themeColor="accent6" w:themeTint="90" w:sz="4" w:space="0"/>
          <w:right w:val="nil"/>
        </w:tcBorders>
        <w:shd w:val="clear" w:color="FFFFFF" w:fill="FFFFFF" w:themeFill="light1"/>
      </w:tcPr>
    </w:tblStylePr>
    <w:tblStylePr w:type="lastRow">
      <w:rPr>
        <w:rFonts w:ascii="Arial" w:hAnsi="Arial"/>
        <w:b/>
        <w:color w:val="416529" w:themeColor="accent6" w:themeShade="95"/>
        <w:sz w:val="22"/>
      </w:rPr>
      <w:tcPr>
        <w:tcBorders>
          <w:top w:val="single" w:color="ADD394" w:themeColor="accent6" w:themeTint="90" w:sz="4" w:space="0"/>
          <w:left w:val="nil"/>
          <w:bottom w:val="nil"/>
          <w:right w:val="nil"/>
        </w:tcBorders>
        <w:shd w:val="clear" w:color="FFFFFF" w:fill="FFFFFF" w:themeFill="light1"/>
      </w:tcPr>
    </w:tblStylePr>
    <w:tblStylePr w:type="firstCol">
      <w:pPr>
        <w:jc w:val="right"/>
      </w:pPr>
      <w:rPr>
        <w:rFonts w:ascii="Arial" w:hAnsi="Arial"/>
        <w:i/>
        <w:color w:val="416529" w:themeColor="accent6" w:themeShade="95"/>
        <w:sz w:val="22"/>
      </w:rPr>
      <w:tcPr>
        <w:tcBorders>
          <w:top w:val="nil"/>
          <w:left w:val="nil"/>
          <w:bottom w:val="nil"/>
          <w:right w:val="single" w:color="ADD394" w:themeColor="accent6" w:themeTint="90" w:sz="4" w:space="0"/>
        </w:tcBorders>
        <w:shd w:val="clear" w:color="FFFFFF" w:fill="FFFFFF"/>
      </w:tcPr>
    </w:tblStylePr>
    <w:tblStylePr w:type="lastCol">
      <w:rPr>
        <w:rFonts w:ascii="Arial" w:hAnsi="Arial"/>
        <w:i/>
        <w:color w:val="416529" w:themeColor="accent6" w:themeShade="95"/>
        <w:sz w:val="22"/>
      </w:rPr>
      <w:tcPr>
        <w:tcBorders>
          <w:top w:val="nil"/>
          <w:left w:val="single" w:color="ADD394" w:themeColor="accent6" w:themeTint="90" w:sz="4" w:space="0"/>
          <w:bottom w:val="nil"/>
          <w:right w:val="nil"/>
        </w:tcBorders>
        <w:shd w:val="clear" w:color="FFFFFF" w:fill="FFFFFF"/>
      </w:tcPr>
    </w:tblStylePr>
    <w:tblStylePr w:type="band1Vert">
      <w:tcPr>
        <w:shd w:val="clear" w:color="FFFFFF" w:fill="E1EFD8" w:themeFill="accent6" w:themeFillTint="34"/>
      </w:tcPr>
    </w:tblStylePr>
    <w:tblStylePr w:type="band1Horz">
      <w:rPr>
        <w:rFonts w:ascii="Arial" w:hAnsi="Arial"/>
        <w:color w:val="416529" w:themeColor="accent6" w:themeShade="95"/>
        <w:sz w:val="22"/>
      </w:rPr>
      <w:tcPr>
        <w:shd w:val="clear" w:color="FFFFFF" w:fill="E1EFD8" w:themeFill="accent6" w:themeFillTint="34"/>
      </w:tcPr>
    </w:tblStylePr>
    <w:tblStylePr w:type="band2Horz">
      <w:rPr>
        <w:rFonts w:ascii="Arial" w:hAnsi="Arial"/>
        <w:color w:val="416529" w:themeColor="accent6" w:themeShade="95"/>
        <w:sz w:val="22"/>
      </w:rPr>
    </w:tblStylePr>
  </w:style>
  <w:style w:type="table" w:customStyle="1" w:styleId="113">
    <w:name w:val="List Table 1 Light"/>
    <w:basedOn w:val="19"/>
    <w:uiPriority w:val="99"/>
    <w:tblPr>
      <w:tblCellMar>
        <w:top w:w="0" w:type="dxa"/>
        <w:left w:w="108" w:type="dxa"/>
        <w:bottom w:w="0" w:type="dxa"/>
        <w:right w:w="108"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14">
    <w:name w:val="List Table 1 Light - Accent 1"/>
    <w:basedOn w:val="19"/>
    <w:uiPriority w:val="99"/>
    <w:tblPr>
      <w:tblCellMar>
        <w:top w:w="0" w:type="dxa"/>
        <w:left w:w="108" w:type="dxa"/>
        <w:bottom w:w="0" w:type="dxa"/>
        <w:right w:w="108" w:type="dxa"/>
      </w:tblCellMa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5E5F4" w:themeFill="accent1" w:themeFillTint="40"/>
      </w:tcPr>
    </w:tblStylePr>
    <w:tblStylePr w:type="band1Horz">
      <w:tcPr>
        <w:shd w:val="clear" w:color="FFFFFF" w:fill="D5E5F4" w:themeFill="accent1" w:themeFillTint="40"/>
      </w:tcPr>
    </w:tblStylePr>
  </w:style>
  <w:style w:type="table" w:customStyle="1" w:styleId="115">
    <w:name w:val="List Table 1 Light - Accent 2"/>
    <w:basedOn w:val="19"/>
    <w:uiPriority w:val="99"/>
    <w:tblPr>
      <w:tblCellMar>
        <w:top w:w="0" w:type="dxa"/>
        <w:left w:w="108" w:type="dxa"/>
        <w:bottom w:w="0" w:type="dxa"/>
        <w:right w:w="108" w:type="dxa"/>
      </w:tblCellMa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ADECB" w:themeFill="accent2" w:themeFillTint="40"/>
      </w:tcPr>
    </w:tblStylePr>
    <w:tblStylePr w:type="band1Horz">
      <w:tcPr>
        <w:shd w:val="clear" w:color="FFFFFF" w:fill="FADECB" w:themeFill="accent2" w:themeFillTint="40"/>
      </w:tcPr>
    </w:tblStylePr>
  </w:style>
  <w:style w:type="table" w:customStyle="1" w:styleId="116">
    <w:name w:val="List Table 1 Light - Accent 3"/>
    <w:basedOn w:val="19"/>
    <w:uiPriority w:val="99"/>
    <w:tblPr>
      <w:tblCellMar>
        <w:top w:w="0" w:type="dxa"/>
        <w:left w:w="108" w:type="dxa"/>
        <w:bottom w:w="0" w:type="dxa"/>
        <w:right w:w="108" w:type="dxa"/>
      </w:tblCellMa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8E8E8" w:themeFill="accent3" w:themeFillTint="40"/>
      </w:tcPr>
    </w:tblStylePr>
    <w:tblStylePr w:type="band1Horz">
      <w:tcPr>
        <w:shd w:val="clear" w:color="FFFFFF" w:fill="E8E8E8" w:themeFill="accent3" w:themeFillTint="40"/>
      </w:tcPr>
    </w:tblStylePr>
  </w:style>
  <w:style w:type="table" w:customStyle="1" w:styleId="117">
    <w:name w:val="List Table 1 Light - Accent 4"/>
    <w:basedOn w:val="19"/>
    <w:uiPriority w:val="99"/>
    <w:tblPr>
      <w:tblCellMar>
        <w:top w:w="0" w:type="dxa"/>
        <w:left w:w="108" w:type="dxa"/>
        <w:bottom w:w="0" w:type="dxa"/>
        <w:right w:w="108" w:type="dxa"/>
      </w:tblCellMa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FEFBE" w:themeFill="accent4" w:themeFillTint="40"/>
      </w:tcPr>
    </w:tblStylePr>
    <w:tblStylePr w:type="band1Horz">
      <w:tcPr>
        <w:shd w:val="clear" w:color="FFFFFF" w:fill="FFEFBE" w:themeFill="accent4" w:themeFillTint="40"/>
      </w:tcPr>
    </w:tblStylePr>
  </w:style>
  <w:style w:type="table" w:customStyle="1" w:styleId="118">
    <w:name w:val="List Table 1 Light - Accent 5"/>
    <w:basedOn w:val="19"/>
    <w:uiPriority w:val="99"/>
    <w:tblPr>
      <w:tblCellMar>
        <w:top w:w="0" w:type="dxa"/>
        <w:left w:w="108" w:type="dxa"/>
        <w:bottom w:w="0" w:type="dxa"/>
        <w:right w:w="108" w:type="dxa"/>
      </w:tblCellMa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0DBF0" w:themeFill="accent5" w:themeFillTint="40"/>
      </w:tcPr>
    </w:tblStylePr>
    <w:tblStylePr w:type="band1Horz">
      <w:tcPr>
        <w:shd w:val="clear" w:color="FFFFFF" w:fill="D0DBF0" w:themeFill="accent5" w:themeFillTint="40"/>
      </w:tcPr>
    </w:tblStylePr>
  </w:style>
  <w:style w:type="table" w:customStyle="1" w:styleId="119">
    <w:name w:val="List Table 1 Light - Accent 6"/>
    <w:basedOn w:val="19"/>
    <w:uiPriority w:val="99"/>
    <w:tblPr>
      <w:tblCellMar>
        <w:top w:w="0" w:type="dxa"/>
        <w:left w:w="108" w:type="dxa"/>
        <w:bottom w:w="0" w:type="dxa"/>
        <w:right w:w="108" w:type="dxa"/>
      </w:tblCellMa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AEBCF" w:themeFill="accent6" w:themeFillTint="40"/>
      </w:tcPr>
    </w:tblStylePr>
    <w:tblStylePr w:type="band1Horz">
      <w:tcPr>
        <w:shd w:val="clear" w:color="FFFFFF" w:fill="DAEBCF" w:themeFill="accent6" w:themeFillTint="40"/>
      </w:tcPr>
    </w:tblStylePr>
  </w:style>
  <w:style w:type="table" w:customStyle="1" w:styleId="120">
    <w:name w:val="List Table 2"/>
    <w:basedOn w:val="19"/>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21">
    <w:name w:val="List Table 2 - Accent 1"/>
    <w:basedOn w:val="19"/>
    <w:qFormat/>
    <w:uiPriority w:val="99"/>
    <w:tblPr>
      <w:tblBorders>
        <w:top w:val="single" w:color="A2C6E7" w:themeColor="accent1" w:themeTint="90" w:sz="4" w:space="0"/>
        <w:bottom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5E5F4" w:themeFill="accent1" w:themeFillTint="40"/>
      </w:tcPr>
    </w:tblStylePr>
    <w:tblStylePr w:type="band1Horz">
      <w:rPr>
        <w:rFonts w:ascii="Arial" w:hAnsi="Arial"/>
        <w:color w:val="404040"/>
        <w:sz w:val="22"/>
      </w:rPr>
      <w:tcPr>
        <w:shd w:val="clear" w:color="FFFFFF" w:fill="D5E5F4" w:themeFill="accent1" w:themeFillTint="40"/>
      </w:tcPr>
    </w:tblStylePr>
  </w:style>
  <w:style w:type="table" w:customStyle="1" w:styleId="122">
    <w:name w:val="List Table 2 - Accent 2"/>
    <w:basedOn w:val="19"/>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23">
    <w:name w:val="List Table 2 - Accent 3"/>
    <w:basedOn w:val="19"/>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24">
    <w:name w:val="List Table 2 - Accent 4"/>
    <w:basedOn w:val="19"/>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25">
    <w:name w:val="List Table 2 - Accent 5"/>
    <w:basedOn w:val="19"/>
    <w:qFormat/>
    <w:uiPriority w:val="99"/>
    <w:tblPr>
      <w:tblBorders>
        <w:top w:val="single" w:color="95AFDD" w:themeColor="accent5" w:themeTint="90" w:sz="4" w:space="0"/>
        <w:bottom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0DBF0" w:themeFill="accent5" w:themeFillTint="40"/>
      </w:tcPr>
    </w:tblStylePr>
    <w:tblStylePr w:type="band1Horz">
      <w:rPr>
        <w:rFonts w:ascii="Arial" w:hAnsi="Arial"/>
        <w:color w:val="404040"/>
        <w:sz w:val="22"/>
      </w:rPr>
      <w:tcPr>
        <w:shd w:val="clear" w:color="FFFFFF" w:fill="D0DBF0" w:themeFill="accent5" w:themeFillTint="40"/>
      </w:tcPr>
    </w:tblStylePr>
  </w:style>
  <w:style w:type="table" w:customStyle="1" w:styleId="126">
    <w:name w:val="List Table 2 - Accent 6"/>
    <w:basedOn w:val="19"/>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27">
    <w:name w:val="List Table 3"/>
    <w:basedOn w:val="1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8">
    <w:name w:val="List Table 3 - Accent 1"/>
    <w:basedOn w:val="19"/>
    <w:qFormat/>
    <w:uiPriority w:val="99"/>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9">
    <w:name w:val="List Table 3 - Accent 2"/>
    <w:basedOn w:val="1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CellMar>
        <w:top w:w="0" w:type="dxa"/>
        <w:left w:w="108" w:type="dxa"/>
        <w:bottom w:w="0" w:type="dxa"/>
        <w:right w:w="108" w:type="dxa"/>
      </w:tblCellMar>
    </w:tblPr>
    <w:tblStylePr w:type="firstRow">
      <w:rPr>
        <w:rFonts w:ascii="Arial" w:hAnsi="Arial"/>
        <w:b/>
        <w:color w:val="FFFFFF"/>
        <w:sz w:val="22"/>
      </w:rPr>
      <w:tcPr>
        <w:shd w:val="clear" w:color="FFFFFF"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30">
    <w:name w:val="List Table 3 - Accent 3"/>
    <w:basedOn w:val="19"/>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108" w:type="dxa"/>
        <w:bottom w:w="0" w:type="dxa"/>
        <w:right w:w="108" w:type="dxa"/>
      </w:tblCellMar>
    </w:tblPr>
    <w:tblStylePr w:type="firstRow">
      <w:rPr>
        <w:rFonts w:ascii="Arial" w:hAnsi="Arial"/>
        <w:b/>
        <w:color w:val="FFFFFF"/>
        <w:sz w:val="22"/>
      </w:r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31">
    <w:name w:val="List Table 3 - Accent 4"/>
    <w:basedOn w:val="1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CellMar>
        <w:top w:w="0" w:type="dxa"/>
        <w:left w:w="108" w:type="dxa"/>
        <w:bottom w:w="0" w:type="dxa"/>
        <w:right w:w="108" w:type="dxa"/>
      </w:tblCellMar>
    </w:tblPr>
    <w:tblStylePr w:type="firstRow">
      <w:rPr>
        <w:rFonts w:ascii="Arial" w:hAnsi="Arial"/>
        <w:b/>
        <w:color w:val="FFFFFF"/>
        <w:sz w:val="22"/>
      </w:rPr>
      <w:tcPr>
        <w:shd w:val="clear" w:color="FFFFFF"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32">
    <w:name w:val="List Table 3 - Accent 5"/>
    <w:basedOn w:val="19"/>
    <w:qFormat/>
    <w:uiPriority w:val="99"/>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CellMar>
        <w:top w:w="0" w:type="dxa"/>
        <w:left w:w="108" w:type="dxa"/>
        <w:bottom w:w="0" w:type="dxa"/>
        <w:right w:w="108" w:type="dxa"/>
      </w:tblCellMar>
    </w:tblPr>
    <w:tblStylePr w:type="firstRow">
      <w:rPr>
        <w:rFonts w:ascii="Arial" w:hAnsi="Arial"/>
        <w:b/>
        <w:color w:val="FFFFFF"/>
        <w:sz w:val="22"/>
      </w:rPr>
      <w:tcPr>
        <w:shd w:val="clear" w:color="FFFFFF"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33">
    <w:name w:val="List Table 3 - Accent 6"/>
    <w:basedOn w:val="19"/>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108" w:type="dxa"/>
        <w:bottom w:w="0" w:type="dxa"/>
        <w:right w:w="108" w:type="dxa"/>
      </w:tblCellMar>
    </w:tblPr>
    <w:tblStylePr w:type="firstRow">
      <w:rPr>
        <w:rFonts w:ascii="Arial" w:hAnsi="Arial"/>
        <w:b/>
        <w:color w:val="FFFFFF"/>
        <w:sz w:val="22"/>
      </w:r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4">
    <w:name w:val="List Table 4"/>
    <w:basedOn w:val="1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35">
    <w:name w:val="List Table 4 - Accent 1"/>
    <w:basedOn w:val="19"/>
    <w:uiPriority w:val="9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5E5F4" w:themeFill="accent1" w:themeFillTint="40"/>
      </w:tcPr>
    </w:tblStylePr>
    <w:tblStylePr w:type="band1Horz">
      <w:rPr>
        <w:rFonts w:ascii="Arial" w:hAnsi="Arial"/>
        <w:color w:val="404040"/>
        <w:sz w:val="22"/>
      </w:rPr>
      <w:tcPr>
        <w:shd w:val="clear" w:color="FFFFFF" w:fill="D5E5F4" w:themeFill="accent1" w:themeFillTint="40"/>
      </w:tcPr>
    </w:tblStylePr>
  </w:style>
  <w:style w:type="table" w:customStyle="1" w:styleId="136">
    <w:name w:val="List Table 4 - Accent 2"/>
    <w:basedOn w:val="19"/>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37">
    <w:name w:val="List Table 4 - Accent 3"/>
    <w:basedOn w:val="19"/>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38">
    <w:name w:val="List Table 4 - Accent 4"/>
    <w:basedOn w:val="19"/>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39">
    <w:name w:val="List Table 4 - Accent 5"/>
    <w:basedOn w:val="19"/>
    <w:uiPriority w:val="9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0DBF0" w:themeFill="accent5" w:themeFillTint="40"/>
      </w:tcPr>
    </w:tblStylePr>
    <w:tblStylePr w:type="band1Horz">
      <w:rPr>
        <w:rFonts w:ascii="Arial" w:hAnsi="Arial"/>
        <w:color w:val="404040"/>
        <w:sz w:val="22"/>
      </w:rPr>
      <w:tcPr>
        <w:shd w:val="clear" w:color="FFFFFF" w:fill="D0DBF0" w:themeFill="accent5" w:themeFillTint="40"/>
      </w:tcPr>
    </w:tblStylePr>
  </w:style>
  <w:style w:type="table" w:customStyle="1" w:styleId="140">
    <w:name w:val="List Table 4 - Accent 6"/>
    <w:basedOn w:val="19"/>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41">
    <w:name w:val="List Table 5 Dark"/>
    <w:basedOn w:val="19"/>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FFFFFF"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FFFFFF"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E7E7E" w:themeFill="text1" w:themeFillTint="80"/>
      </w:tcPr>
    </w:tblStylePr>
    <w:tblStylePr w:type="band2Horz">
      <w:tcPr>
        <w:tcBorders>
          <w:top w:val="single" w:color="FFFFFF" w:themeColor="light1" w:sz="4" w:space="0"/>
          <w:bottom w:val="single" w:color="FFFFFF" w:themeColor="light1" w:sz="4" w:space="0"/>
        </w:tcBorders>
        <w:shd w:val="clear" w:color="FFFFFF" w:fill="7E7E7E" w:themeFill="text1" w:themeFillTint="80"/>
      </w:tcPr>
    </w:tblStylePr>
  </w:style>
  <w:style w:type="table" w:customStyle="1" w:styleId="142">
    <w:name w:val="List Table 5 Dark - Accent 1"/>
    <w:basedOn w:val="19"/>
    <w:uiPriority w:val="99"/>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5B9BD5" w:themeColor="accent1" w:sz="32" w:space="0"/>
          <w:bottom w:val="single" w:color="FFFFFF" w:themeColor="light1" w:sz="12" w:space="0"/>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FFFFFF"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5B9BD5" w:themeFill="accent1"/>
      </w:tcPr>
    </w:tblStylePr>
    <w:tblStylePr w:type="band2Horz">
      <w:tcPr>
        <w:tcBorders>
          <w:top w:val="single" w:color="FFFFFF" w:themeColor="light1" w:sz="4" w:space="0"/>
          <w:bottom w:val="single" w:color="FFFFFF" w:themeColor="light1" w:sz="4" w:space="0"/>
        </w:tcBorders>
        <w:shd w:val="clear" w:color="FFFFFF" w:fill="5B9BD5" w:themeFill="accent1"/>
      </w:tcPr>
    </w:tblStylePr>
  </w:style>
  <w:style w:type="table" w:customStyle="1" w:styleId="143">
    <w:name w:val="List Table 5 Dark - Accent 2"/>
    <w:basedOn w:val="19"/>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F4B285" w:themeColor="accent2" w:themeTint="97" w:sz="32" w:space="0"/>
          <w:bottom w:val="single" w:color="FFFFFF" w:themeColor="light1" w:sz="12" w:space="0"/>
        </w:tcBorders>
        <w:shd w:val="clear" w:color="FFFFFF" w:fill="F4B28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FFFFF"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4B285" w:themeFill="accent2" w:themeFillTint="97"/>
      </w:tcPr>
    </w:tblStylePr>
    <w:tblStylePr w:type="band2Horz">
      <w:tcPr>
        <w:tcBorders>
          <w:top w:val="single" w:color="FFFFFF" w:themeColor="light1" w:sz="4" w:space="0"/>
          <w:bottom w:val="single" w:color="FFFFFF" w:themeColor="light1" w:sz="4" w:space="0"/>
        </w:tcBorders>
        <w:shd w:val="clear" w:color="FFFFFF" w:fill="F4B285" w:themeFill="accent2" w:themeFillTint="97"/>
      </w:tcPr>
    </w:tblStylePr>
  </w:style>
  <w:style w:type="table" w:customStyle="1" w:styleId="144">
    <w:name w:val="List Table 5 Dark - Accent 3"/>
    <w:basedOn w:val="19"/>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C9C9C9" w:themeColor="accent3" w:themeTint="98" w:sz="32" w:space="0"/>
          <w:bottom w:val="single" w:color="FFFFFF" w:themeColor="light1" w:sz="12" w:space="0"/>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FFFFFF"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9C9C9" w:themeFill="accent3" w:themeFillTint="98"/>
      </w:tcPr>
    </w:tblStylePr>
    <w:tblStylePr w:type="band2Horz">
      <w:tcPr>
        <w:tcBorders>
          <w:top w:val="single" w:color="FFFFFF" w:themeColor="light1" w:sz="4" w:space="0"/>
          <w:bottom w:val="single" w:color="FFFFFF" w:themeColor="light1" w:sz="4" w:space="0"/>
        </w:tcBorders>
        <w:shd w:val="clear" w:color="FFFFFF" w:fill="C9C9C9" w:themeFill="accent3" w:themeFillTint="98"/>
      </w:tcPr>
    </w:tblStylePr>
  </w:style>
  <w:style w:type="table" w:customStyle="1" w:styleId="145">
    <w:name w:val="List Table 5 Dark - Accent 4"/>
    <w:basedOn w:val="19"/>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FFD864" w:themeColor="accent4" w:themeTint="9A" w:sz="32" w:space="0"/>
          <w:bottom w:val="single" w:color="FFFFFF" w:themeColor="light1" w:sz="12" w:space="0"/>
        </w:tcBorders>
        <w:shd w:val="clear" w:color="FFFFFF" w:fill="FFD864"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FFFF"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FD864" w:themeFill="accent4" w:themeFillTint="9A"/>
      </w:tcPr>
    </w:tblStylePr>
    <w:tblStylePr w:type="band2Horz">
      <w:tcPr>
        <w:tcBorders>
          <w:top w:val="single" w:color="FFFFFF" w:themeColor="light1" w:sz="4" w:space="0"/>
          <w:bottom w:val="single" w:color="FFFFFF" w:themeColor="light1" w:sz="4" w:space="0"/>
        </w:tcBorders>
        <w:shd w:val="clear" w:color="FFFFFF" w:fill="FFD864" w:themeFill="accent4" w:themeFillTint="9A"/>
      </w:tcPr>
    </w:tblStylePr>
  </w:style>
  <w:style w:type="table" w:customStyle="1" w:styleId="146">
    <w:name w:val="List Table 5 Dark - Accent 5"/>
    <w:basedOn w:val="19"/>
    <w:qFormat/>
    <w:uiPriority w:val="99"/>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8EA9DB" w:themeColor="accent5" w:themeTint="9A" w:sz="32" w:space="0"/>
          <w:bottom w:val="single" w:color="FFFFFF" w:themeColor="light1" w:sz="12" w:space="0"/>
        </w:tcBorders>
        <w:shd w:val="clear" w:color="FFFFFF" w:fill="8E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FFFFFF"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8EA9DB" w:themeFill="accent5" w:themeFillTint="9A"/>
      </w:tcPr>
    </w:tblStylePr>
    <w:tblStylePr w:type="band2Horz">
      <w:tcPr>
        <w:tcBorders>
          <w:top w:val="single" w:color="FFFFFF" w:themeColor="light1" w:sz="4" w:space="0"/>
          <w:bottom w:val="single" w:color="FFFFFF" w:themeColor="light1" w:sz="4" w:space="0"/>
        </w:tcBorders>
        <w:shd w:val="clear" w:color="FFFFFF" w:fill="8EA9DB" w:themeFill="accent5" w:themeFillTint="9A"/>
      </w:tcPr>
    </w:tblStylePr>
  </w:style>
  <w:style w:type="table" w:customStyle="1" w:styleId="147">
    <w:name w:val="List Table 5 Dark - Accent 6"/>
    <w:basedOn w:val="19"/>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A9D08E" w:themeColor="accent6" w:themeTint="98" w:sz="32" w:space="0"/>
          <w:bottom w:val="single" w:color="FFFFFF" w:themeColor="light1" w:sz="12" w:space="0"/>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FFFFFF"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A9D08E" w:themeFill="accent6" w:themeFillTint="98"/>
      </w:tcPr>
    </w:tblStylePr>
    <w:tblStylePr w:type="band2Horz">
      <w:tcPr>
        <w:tcBorders>
          <w:top w:val="single" w:color="FFFFFF" w:themeColor="light1" w:sz="4" w:space="0"/>
          <w:bottom w:val="single" w:color="FFFFFF" w:themeColor="light1" w:sz="4" w:space="0"/>
        </w:tcBorders>
        <w:shd w:val="clear" w:color="FFFFFF" w:fill="A9D08E" w:themeFill="accent6" w:themeFillTint="98"/>
      </w:tcPr>
    </w:tblStylePr>
  </w:style>
  <w:style w:type="table" w:customStyle="1" w:styleId="148">
    <w:name w:val="List Table 6 Colorful"/>
    <w:basedOn w:val="19"/>
    <w:uiPriority w:val="99"/>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FFFFFF" w:fill="BEBEBE" w:themeFill="text1" w:themeFillTint="40"/>
      </w:tcPr>
    </w:tblStylePr>
    <w:tblStylePr w:type="band1Horz">
      <w:rPr>
        <w:rFonts w:ascii="Arial" w:hAnsi="Arial"/>
        <w:color w:val="000000" w:themeColor="text1"/>
        <w:sz w:val="22"/>
      </w:rPr>
      <w:tcPr>
        <w:shd w:val="clear" w:color="FFFFFF" w:fill="BEBEBE" w:themeFill="text1" w:themeFillTint="40"/>
      </w:tcPr>
    </w:tblStylePr>
    <w:tblStylePr w:type="band2Horz">
      <w:rPr>
        <w:rFonts w:ascii="Arial" w:hAnsi="Arial"/>
        <w:color w:val="000000" w:themeColor="text1"/>
        <w:sz w:val="22"/>
      </w:rPr>
    </w:tblStylePr>
  </w:style>
  <w:style w:type="table" w:customStyle="1" w:styleId="149">
    <w:name w:val="List Table 6 Colorful - Accent 1"/>
    <w:basedOn w:val="19"/>
    <w:qFormat/>
    <w:uiPriority w:val="99"/>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color w:val="245B8D" w:themeColor="accent1" w:themeShade="95"/>
      </w:rPr>
      <w:tcPr>
        <w:tcBorders>
          <w:bottom w:val="single" w:color="5B9BD5" w:themeColor="accent1" w:sz="4" w:space="0"/>
        </w:tcBorders>
      </w:tcPr>
    </w:tblStylePr>
    <w:tblStylePr w:type="lastRow">
      <w:rPr>
        <w:b/>
        <w:color w:val="245B8D" w:themeColor="accent1" w:themeShade="95"/>
      </w:rPr>
      <w:tcPr>
        <w:tcBorders>
          <w:top w:val="single" w:color="5B9BD5" w:themeColor="accent1" w:sz="4" w:space="0"/>
        </w:tcBorders>
      </w:tcPr>
    </w:tblStylePr>
    <w:tblStylePr w:type="firstCol">
      <w:rPr>
        <w:b/>
        <w:color w:val="245B8D" w:themeColor="accent1" w:themeShade="95"/>
      </w:rPr>
    </w:tblStylePr>
    <w:tblStylePr w:type="lastCol">
      <w:rPr>
        <w:b/>
        <w:color w:val="245B8D" w:themeColor="accent1" w:themeShade="95"/>
      </w:rPr>
    </w:tblStylePr>
    <w:tblStylePr w:type="band1Vert">
      <w:tcPr>
        <w:shd w:val="clear" w:color="FFFFFF" w:fill="D5E5F4" w:themeFill="accent1" w:themeFillTint="40"/>
      </w:tcPr>
    </w:tblStylePr>
    <w:tblStylePr w:type="band1Horz">
      <w:rPr>
        <w:rFonts w:ascii="Arial" w:hAnsi="Arial"/>
        <w:color w:val="245B8D" w:themeColor="accent1" w:themeShade="95"/>
        <w:sz w:val="22"/>
      </w:rPr>
      <w:tcPr>
        <w:shd w:val="clear" w:color="FFFFFF" w:fill="D5E5F4" w:themeFill="accent1" w:themeFillTint="40"/>
      </w:tcPr>
    </w:tblStylePr>
    <w:tblStylePr w:type="band2Horz">
      <w:rPr>
        <w:rFonts w:ascii="Arial" w:hAnsi="Arial"/>
        <w:color w:val="245B8D" w:themeColor="accent1" w:themeShade="95"/>
        <w:sz w:val="22"/>
      </w:rPr>
    </w:tblStylePr>
  </w:style>
  <w:style w:type="table" w:customStyle="1" w:styleId="150">
    <w:name w:val="List Table 6 Colorful - Accent 2"/>
    <w:basedOn w:val="19"/>
    <w:qFormat/>
    <w:uiPriority w:val="99"/>
    <w:tblPr>
      <w:tblBorders>
        <w:top w:val="single" w:color="F4B285" w:themeColor="accent2" w:themeTint="97" w:sz="4" w:space="0"/>
        <w:bottom w:val="single" w:color="F4B285" w:themeColor="accent2" w:themeTint="97" w:sz="4" w:space="0"/>
      </w:tblBorders>
      <w:tblCellMar>
        <w:top w:w="0" w:type="dxa"/>
        <w:left w:w="108" w:type="dxa"/>
        <w:bottom w:w="0" w:type="dxa"/>
        <w:right w:w="108" w:type="dxa"/>
      </w:tblCellMar>
    </w:tblPr>
    <w:tblStylePr w:type="firstRow">
      <w:rPr>
        <w:b/>
        <w:color w:val="F4B285" w:themeColor="accent2" w:themeShade="95" w:themeTint="97"/>
      </w:rPr>
      <w:tcPr>
        <w:tcBorders>
          <w:bottom w:val="single" w:color="F4B285" w:themeColor="accent2" w:themeTint="97" w:sz="4" w:space="0"/>
        </w:tcBorders>
      </w:tcPr>
    </w:tblStylePr>
    <w:tblStylePr w:type="lastRow">
      <w:rPr>
        <w:b/>
        <w:color w:val="F4B285" w:themeColor="accent2" w:themeShade="95" w:themeTint="97"/>
      </w:rPr>
      <w:tcPr>
        <w:tcBorders>
          <w:top w:val="single" w:color="F4B285" w:themeColor="accent2" w:themeTint="97" w:sz="4" w:space="0"/>
        </w:tcBorders>
      </w:tcPr>
    </w:tblStylePr>
    <w:tblStylePr w:type="firstCol">
      <w:rPr>
        <w:b/>
        <w:color w:val="F4B285" w:themeColor="accent2" w:themeShade="95" w:themeTint="97"/>
      </w:rPr>
    </w:tblStylePr>
    <w:tblStylePr w:type="lastCol">
      <w:rPr>
        <w:b/>
        <w:color w:val="F4B285" w:themeColor="accent2" w:themeShade="95" w:themeTint="97"/>
      </w:rPr>
    </w:tblStylePr>
    <w:tblStylePr w:type="band1Vert">
      <w:tcPr>
        <w:shd w:val="clear" w:color="FFFFFF" w:fill="FADECB" w:themeFill="accent2" w:themeFillTint="40"/>
      </w:tcPr>
    </w:tblStylePr>
    <w:tblStylePr w:type="band1Horz">
      <w:rPr>
        <w:rFonts w:ascii="Arial" w:hAnsi="Arial"/>
        <w:color w:val="F4B285" w:themeColor="accent2" w:themeShade="95" w:themeTint="97"/>
        <w:sz w:val="22"/>
      </w:rPr>
      <w:tcPr>
        <w:shd w:val="clear" w:color="FFFFFF" w:fill="FADECB" w:themeFill="accent2" w:themeFillTint="40"/>
      </w:tcPr>
    </w:tblStylePr>
    <w:tblStylePr w:type="band2Horz">
      <w:rPr>
        <w:rFonts w:ascii="Arial" w:hAnsi="Arial"/>
        <w:color w:val="F4B285" w:themeColor="accent2" w:themeShade="95" w:themeTint="97"/>
        <w:sz w:val="22"/>
      </w:rPr>
    </w:tblStylePr>
  </w:style>
  <w:style w:type="table" w:customStyle="1" w:styleId="151">
    <w:name w:val="List Table 6 Colorful - Accent 3"/>
    <w:basedOn w:val="19"/>
    <w:uiPriority w:val="99"/>
    <w:tblPr>
      <w:tblBorders>
        <w:top w:val="single" w:color="C9C9C9" w:themeColor="accent3" w:themeTint="98" w:sz="4" w:space="0"/>
        <w:bottom w:val="single" w:color="C9C9C9" w:themeColor="accent3" w:themeTint="98" w:sz="4" w:space="0"/>
      </w:tblBorders>
      <w:tblCellMar>
        <w:top w:w="0" w:type="dxa"/>
        <w:left w:w="108" w:type="dxa"/>
        <w:bottom w:w="0" w:type="dxa"/>
        <w:right w:w="108" w:type="dxa"/>
      </w:tblCellMar>
    </w:tblPr>
    <w:tblStylePr w:type="firstRow">
      <w:rPr>
        <w:b/>
        <w:color w:val="C9C9C9" w:themeColor="accent3" w:themeShade="95" w:themeTint="98"/>
      </w:rPr>
      <w:tcPr>
        <w:tcBorders>
          <w:bottom w:val="single" w:color="C9C9C9" w:themeColor="accent3" w:themeTint="98" w:sz="4" w:space="0"/>
        </w:tcBorders>
      </w:tcPr>
    </w:tblStylePr>
    <w:tblStylePr w:type="lastRow">
      <w:rPr>
        <w:b/>
        <w:color w:val="C9C9C9" w:themeColor="accent3" w:themeShade="95" w:themeTint="98"/>
      </w:rPr>
      <w:tcPr>
        <w:tcBorders>
          <w:top w:val="single" w:color="C9C9C9" w:themeColor="accent3" w:themeTint="98" w:sz="4" w:space="0"/>
        </w:tcBorders>
      </w:tcPr>
    </w:tblStylePr>
    <w:tblStylePr w:type="firstCol">
      <w:rPr>
        <w:b/>
        <w:color w:val="C9C9C9" w:themeColor="accent3" w:themeShade="95" w:themeTint="98"/>
      </w:rPr>
    </w:tblStylePr>
    <w:tblStylePr w:type="lastCol">
      <w:rPr>
        <w:b/>
        <w:color w:val="C9C9C9" w:themeColor="accent3" w:themeShade="95" w:themeTint="98"/>
      </w:rPr>
    </w:tblStylePr>
    <w:tblStylePr w:type="band1Vert">
      <w:tcPr>
        <w:shd w:val="clear" w:color="FFFFFF" w:fill="E8E8E8" w:themeFill="accent3" w:themeFillTint="40"/>
      </w:tcPr>
    </w:tblStylePr>
    <w:tblStylePr w:type="band1Horz">
      <w:rPr>
        <w:rFonts w:ascii="Arial" w:hAnsi="Arial"/>
        <w:color w:val="C9C9C9" w:themeColor="accent3" w:themeShade="95" w:themeTint="98"/>
        <w:sz w:val="22"/>
      </w:rPr>
      <w:tcPr>
        <w:shd w:val="clear" w:color="FFFFFF" w:fill="E8E8E8" w:themeFill="accent3" w:themeFillTint="40"/>
      </w:tcPr>
    </w:tblStylePr>
    <w:tblStylePr w:type="band2Horz">
      <w:rPr>
        <w:rFonts w:ascii="Arial" w:hAnsi="Arial"/>
        <w:color w:val="C9C9C9" w:themeColor="accent3" w:themeShade="95" w:themeTint="98"/>
        <w:sz w:val="22"/>
      </w:rPr>
    </w:tblStylePr>
  </w:style>
  <w:style w:type="table" w:customStyle="1" w:styleId="152">
    <w:name w:val="List Table 6 Colorful - Accent 4"/>
    <w:basedOn w:val="19"/>
    <w:uiPriority w:val="99"/>
    <w:tblPr>
      <w:tblBorders>
        <w:top w:val="single" w:color="FFD864" w:themeColor="accent4" w:themeTint="9A" w:sz="4" w:space="0"/>
        <w:bottom w:val="single" w:color="FFD864" w:themeColor="accent4" w:themeTint="9A" w:sz="4" w:space="0"/>
      </w:tblBorders>
      <w:tblCellMar>
        <w:top w:w="0" w:type="dxa"/>
        <w:left w:w="108" w:type="dxa"/>
        <w:bottom w:w="0" w:type="dxa"/>
        <w:right w:w="108" w:type="dxa"/>
      </w:tblCellMar>
    </w:tblPr>
    <w:tblStylePr w:type="firstRow">
      <w:rPr>
        <w:b/>
        <w:color w:val="FFD864" w:themeColor="accent4" w:themeShade="95" w:themeTint="9A"/>
      </w:rPr>
      <w:tcPr>
        <w:tcBorders>
          <w:bottom w:val="single" w:color="FFD864" w:themeColor="accent4" w:themeTint="9A" w:sz="4" w:space="0"/>
        </w:tcBorders>
      </w:tcPr>
    </w:tblStylePr>
    <w:tblStylePr w:type="lastRow">
      <w:rPr>
        <w:b/>
        <w:color w:val="FFD864" w:themeColor="accent4" w:themeShade="95" w:themeTint="9A"/>
      </w:rPr>
      <w:tcPr>
        <w:tcBorders>
          <w:top w:val="single" w:color="FFD864" w:themeColor="accent4" w:themeTint="9A" w:sz="4" w:space="0"/>
        </w:tcBorders>
      </w:tcPr>
    </w:tblStylePr>
    <w:tblStylePr w:type="firstCol">
      <w:rPr>
        <w:b/>
        <w:color w:val="FFD864" w:themeColor="accent4" w:themeShade="95" w:themeTint="9A"/>
      </w:rPr>
    </w:tblStylePr>
    <w:tblStylePr w:type="lastCol">
      <w:rPr>
        <w:b/>
        <w:color w:val="FFD864" w:themeColor="accent4" w:themeShade="95" w:themeTint="9A"/>
      </w:rPr>
    </w:tblStylePr>
    <w:tblStylePr w:type="band1Vert">
      <w:tcPr>
        <w:shd w:val="clear" w:color="FFFFFF" w:fill="FFEFBE" w:themeFill="accent4" w:themeFillTint="40"/>
      </w:tcPr>
    </w:tblStylePr>
    <w:tblStylePr w:type="band1Horz">
      <w:rPr>
        <w:rFonts w:ascii="Arial" w:hAnsi="Arial"/>
        <w:color w:val="FFD864" w:themeColor="accent4" w:themeShade="95" w:themeTint="9A"/>
        <w:sz w:val="22"/>
      </w:rPr>
      <w:tcPr>
        <w:shd w:val="clear" w:color="FFFFFF" w:fill="FFEFBE" w:themeFill="accent4" w:themeFillTint="40"/>
      </w:tcPr>
    </w:tblStylePr>
    <w:tblStylePr w:type="band2Horz">
      <w:rPr>
        <w:rFonts w:ascii="Arial" w:hAnsi="Arial"/>
        <w:color w:val="FFD864" w:themeColor="accent4" w:themeShade="95" w:themeTint="9A"/>
        <w:sz w:val="22"/>
      </w:rPr>
    </w:tblStylePr>
  </w:style>
  <w:style w:type="table" w:customStyle="1" w:styleId="153">
    <w:name w:val="List Table 6 Colorful - Accent 5"/>
    <w:basedOn w:val="19"/>
    <w:uiPriority w:val="99"/>
    <w:tblPr>
      <w:tblBorders>
        <w:top w:val="single" w:color="8EA9DB" w:themeColor="accent5" w:themeTint="9A" w:sz="4" w:space="0"/>
        <w:bottom w:val="single" w:color="8EA9DB" w:themeColor="accent5" w:themeTint="9A" w:sz="4" w:space="0"/>
      </w:tblBorders>
      <w:tblCellMar>
        <w:top w:w="0" w:type="dxa"/>
        <w:left w:w="108" w:type="dxa"/>
        <w:bottom w:w="0" w:type="dxa"/>
        <w:right w:w="108" w:type="dxa"/>
      </w:tblCellMar>
    </w:tblPr>
    <w:tblStylePr w:type="firstRow">
      <w:rPr>
        <w:b/>
        <w:color w:val="8EA9DB" w:themeColor="accent5" w:themeShade="95" w:themeTint="9A"/>
      </w:rPr>
      <w:tcPr>
        <w:tcBorders>
          <w:bottom w:val="single" w:color="8EA9DB" w:themeColor="accent5" w:themeTint="9A" w:sz="4" w:space="0"/>
        </w:tcBorders>
      </w:tcPr>
    </w:tblStylePr>
    <w:tblStylePr w:type="lastRow">
      <w:rPr>
        <w:b/>
        <w:color w:val="8EA9DB" w:themeColor="accent5" w:themeShade="95" w:themeTint="9A"/>
      </w:rPr>
      <w:tcPr>
        <w:tcBorders>
          <w:top w:val="single" w:color="8EA9DB" w:themeColor="accent5" w:themeTint="9A" w:sz="4" w:space="0"/>
        </w:tcBorders>
      </w:tcPr>
    </w:tblStylePr>
    <w:tblStylePr w:type="firstCol">
      <w:rPr>
        <w:b/>
        <w:color w:val="8EA9DB" w:themeColor="accent5" w:themeShade="95" w:themeTint="9A"/>
      </w:rPr>
    </w:tblStylePr>
    <w:tblStylePr w:type="lastCol">
      <w:rPr>
        <w:b/>
        <w:color w:val="8EA9DB" w:themeColor="accent5" w:themeShade="95" w:themeTint="9A"/>
      </w:rPr>
    </w:tblStylePr>
    <w:tblStylePr w:type="band1Vert">
      <w:tcPr>
        <w:shd w:val="clear" w:color="FFFFFF" w:fill="D0DBF0" w:themeFill="accent5" w:themeFillTint="40"/>
      </w:tcPr>
    </w:tblStylePr>
    <w:tblStylePr w:type="band1Horz">
      <w:rPr>
        <w:rFonts w:ascii="Arial" w:hAnsi="Arial"/>
        <w:color w:val="8EA9DB" w:themeColor="accent5" w:themeShade="95" w:themeTint="9A"/>
        <w:sz w:val="22"/>
      </w:rPr>
      <w:tcPr>
        <w:shd w:val="clear" w:color="FFFFFF" w:fill="D0DBF0" w:themeFill="accent5" w:themeFillTint="40"/>
      </w:tcPr>
    </w:tblStylePr>
    <w:tblStylePr w:type="band2Horz">
      <w:rPr>
        <w:rFonts w:ascii="Arial" w:hAnsi="Arial"/>
        <w:color w:val="8EA9DB" w:themeColor="accent5" w:themeShade="95" w:themeTint="9A"/>
        <w:sz w:val="22"/>
      </w:rPr>
    </w:tblStylePr>
  </w:style>
  <w:style w:type="table" w:customStyle="1" w:styleId="154">
    <w:name w:val="List Table 6 Colorful - Accent 6"/>
    <w:basedOn w:val="19"/>
    <w:uiPriority w:val="99"/>
    <w:tblPr>
      <w:tblBorders>
        <w:top w:val="single" w:color="A9D08E" w:themeColor="accent6" w:themeTint="98" w:sz="4" w:space="0"/>
        <w:bottom w:val="single" w:color="A9D08E" w:themeColor="accent6" w:themeTint="98" w:sz="4" w:space="0"/>
      </w:tblBorders>
      <w:tblCellMar>
        <w:top w:w="0" w:type="dxa"/>
        <w:left w:w="108" w:type="dxa"/>
        <w:bottom w:w="0" w:type="dxa"/>
        <w:right w:w="108" w:type="dxa"/>
      </w:tblCellMar>
    </w:tblPr>
    <w:tblStylePr w:type="firstRow">
      <w:rPr>
        <w:b/>
        <w:color w:val="A9D08E" w:themeColor="accent6" w:themeShade="95" w:themeTint="98"/>
      </w:rPr>
      <w:tcPr>
        <w:tcBorders>
          <w:bottom w:val="single" w:color="A9D08E" w:themeColor="accent6" w:themeTint="98" w:sz="4" w:space="0"/>
        </w:tcBorders>
      </w:tcPr>
    </w:tblStylePr>
    <w:tblStylePr w:type="lastRow">
      <w:rPr>
        <w:b/>
        <w:color w:val="A9D08E" w:themeColor="accent6" w:themeShade="95" w:themeTint="98"/>
      </w:rPr>
      <w:tcPr>
        <w:tcBorders>
          <w:top w:val="single" w:color="A9D08E" w:themeColor="accent6" w:themeTint="98" w:sz="4" w:space="0"/>
        </w:tcBorders>
      </w:tcPr>
    </w:tblStylePr>
    <w:tblStylePr w:type="firstCol">
      <w:rPr>
        <w:b/>
        <w:color w:val="A9D08E" w:themeColor="accent6" w:themeShade="95" w:themeTint="98"/>
      </w:rPr>
    </w:tblStylePr>
    <w:tblStylePr w:type="lastCol">
      <w:rPr>
        <w:b/>
        <w:color w:val="A9D08E" w:themeColor="accent6" w:themeShade="95" w:themeTint="98"/>
      </w:rPr>
    </w:tblStylePr>
    <w:tblStylePr w:type="band1Vert">
      <w:tcPr>
        <w:shd w:val="clear" w:color="FFFFFF" w:fill="DAEBCF" w:themeFill="accent6" w:themeFillTint="40"/>
      </w:tcPr>
    </w:tblStylePr>
    <w:tblStylePr w:type="band1Horz">
      <w:rPr>
        <w:rFonts w:ascii="Arial" w:hAnsi="Arial"/>
        <w:color w:val="A9D08E" w:themeColor="accent6" w:themeShade="95" w:themeTint="98"/>
        <w:sz w:val="22"/>
      </w:rPr>
      <w:tcPr>
        <w:shd w:val="clear" w:color="FFFFFF" w:fill="DAEBCF" w:themeFill="accent6" w:themeFillTint="40"/>
      </w:tcPr>
    </w:tblStylePr>
    <w:tblStylePr w:type="band2Horz">
      <w:rPr>
        <w:rFonts w:ascii="Arial" w:hAnsi="Arial"/>
        <w:color w:val="A9D08E" w:themeColor="accent6" w:themeShade="95" w:themeTint="98"/>
        <w:sz w:val="22"/>
      </w:rPr>
    </w:tblStylePr>
  </w:style>
  <w:style w:type="table" w:customStyle="1" w:styleId="155">
    <w:name w:val="List Table 7 Colorful"/>
    <w:basedOn w:val="19"/>
    <w:uiPriority w:val="99"/>
    <w:tblPr>
      <w:tblBorders>
        <w:right w:val="single" w:color="7E7E7E" w:themeColor="text1" w:themeTint="80" w:sz="4" w:space="0"/>
      </w:tblBorders>
      <w:tblCellMar>
        <w:top w:w="0" w:type="dxa"/>
        <w:left w:w="108" w:type="dxa"/>
        <w:bottom w:w="0" w:type="dxa"/>
        <w:right w:w="108" w:type="dxa"/>
      </w:tblCellMar>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BEBEBE" w:themeFill="text1" w:themeFillTint="40"/>
      </w:tcPr>
    </w:tblStylePr>
    <w:tblStylePr w:type="band1Horz">
      <w:rPr>
        <w:rFonts w:ascii="Arial" w:hAnsi="Arial"/>
        <w:color w:val="7E7E7E" w:themeColor="text1" w:themeShade="95" w:themeTint="80"/>
        <w:sz w:val="22"/>
      </w:rPr>
      <w:tcPr>
        <w:shd w:val="clear" w:color="FFFFFF" w:fill="BEBEBE" w:themeFill="text1" w:themeFillTint="40"/>
      </w:tcPr>
    </w:tblStylePr>
    <w:tblStylePr w:type="band2Horz">
      <w:rPr>
        <w:rFonts w:ascii="Arial" w:hAnsi="Arial"/>
        <w:color w:val="7E7E7E" w:themeColor="text1" w:themeShade="95" w:themeTint="80"/>
        <w:sz w:val="22"/>
      </w:rPr>
    </w:tblStylePr>
  </w:style>
  <w:style w:type="table" w:customStyle="1" w:styleId="156">
    <w:name w:val="List Table 7 Colorful - Accent 1"/>
    <w:basedOn w:val="19"/>
    <w:uiPriority w:val="99"/>
    <w:tblPr>
      <w:tblBorders>
        <w:right w:val="single" w:color="5B9BD5" w:themeColor="accent1" w:sz="4" w:space="0"/>
      </w:tblBorders>
      <w:tblCellMar>
        <w:top w:w="0" w:type="dxa"/>
        <w:left w:w="108" w:type="dxa"/>
        <w:bottom w:w="0" w:type="dxa"/>
        <w:right w:w="108" w:type="dxa"/>
      </w:tblCellMar>
    </w:tblPr>
    <w:tblStylePr w:type="firstRow">
      <w:rPr>
        <w:rFonts w:ascii="Arial" w:hAnsi="Arial"/>
        <w:i/>
        <w:color w:val="245B8D" w:themeColor="accent1" w:themeShade="95"/>
        <w:sz w:val="22"/>
      </w:rPr>
      <w:tcPr>
        <w:tcBorders>
          <w:top w:val="nil"/>
          <w:left w:val="nil"/>
          <w:bottom w:val="single" w:color="5B9BD5" w:themeColor="accent1" w:sz="4" w:space="0"/>
          <w:right w:val="nil"/>
        </w:tcBorders>
        <w:shd w:val="clear" w:color="FFFFFF" w:fill="FFFFFF" w:themeFill="light1"/>
      </w:tcPr>
    </w:tblStylePr>
    <w:tblStylePr w:type="lastRow">
      <w:rPr>
        <w:rFonts w:ascii="Arial" w:hAnsi="Arial"/>
        <w:i/>
        <w:color w:val="245B8D" w:themeColor="accent1" w:themeShade="95"/>
        <w:sz w:val="22"/>
      </w:rPr>
      <w:tcPr>
        <w:tcBorders>
          <w:top w:val="single" w:color="5B9BD5" w:themeColor="accent1" w:sz="4" w:space="0"/>
          <w:left w:val="nil"/>
          <w:bottom w:val="nil"/>
          <w:right w:val="nil"/>
        </w:tcBorders>
        <w:shd w:val="clear" w:color="FFFFFF" w:fill="FFFFFF" w:themeFill="light1"/>
      </w:tcPr>
    </w:tblStylePr>
    <w:tblStylePr w:type="firstCol">
      <w:pPr>
        <w:jc w:val="right"/>
      </w:pPr>
      <w:rPr>
        <w:rFonts w:ascii="Arial" w:hAnsi="Arial"/>
        <w:i/>
        <w:color w:val="245B8D" w:themeColor="accent1" w:themeShade="95"/>
        <w:sz w:val="22"/>
      </w:rPr>
      <w:tcPr>
        <w:tcBorders>
          <w:top w:val="nil"/>
          <w:left w:val="nil"/>
          <w:bottom w:val="nil"/>
          <w:right w:val="single" w:color="5B9BD5" w:themeColor="accent1" w:sz="4" w:space="0"/>
        </w:tcBorders>
        <w:shd w:val="clear" w:color="FFFFFF" w:fill="FFFFFF"/>
      </w:tcPr>
    </w:tblStylePr>
    <w:tblStylePr w:type="lastCol">
      <w:rPr>
        <w:rFonts w:ascii="Arial" w:hAnsi="Arial"/>
        <w:i/>
        <w:color w:val="245B8D" w:themeColor="accent1" w:themeShade="95"/>
        <w:sz w:val="22"/>
      </w:rPr>
      <w:tcPr>
        <w:tcBorders>
          <w:top w:val="nil"/>
          <w:left w:val="single" w:color="5B9BD5" w:themeColor="accent1" w:sz="4" w:space="0"/>
          <w:bottom w:val="nil"/>
          <w:right w:val="nil"/>
        </w:tcBorders>
        <w:shd w:val="clear" w:color="FFFFFF" w:fill="FFFFFF"/>
      </w:tcPr>
    </w:tblStylePr>
    <w:tblStylePr w:type="band1Vert">
      <w:tcPr>
        <w:shd w:val="clear" w:color="FFFFFF" w:fill="D5E5F4" w:themeFill="accent1" w:themeFillTint="40"/>
      </w:tcPr>
    </w:tblStylePr>
    <w:tblStylePr w:type="band1Horz">
      <w:rPr>
        <w:rFonts w:ascii="Arial" w:hAnsi="Arial"/>
        <w:color w:val="245B8D" w:themeColor="accent1" w:themeShade="95"/>
        <w:sz w:val="22"/>
      </w:rPr>
      <w:tcPr>
        <w:shd w:val="clear" w:color="FFFFFF" w:fill="D5E5F4" w:themeFill="accent1" w:themeFillTint="40"/>
      </w:tcPr>
    </w:tblStylePr>
    <w:tblStylePr w:type="band2Horz">
      <w:rPr>
        <w:rFonts w:ascii="Arial" w:hAnsi="Arial"/>
        <w:color w:val="245B8D" w:themeColor="accent1" w:themeShade="95"/>
        <w:sz w:val="22"/>
      </w:rPr>
    </w:tblStylePr>
  </w:style>
  <w:style w:type="table" w:customStyle="1" w:styleId="157">
    <w:name w:val="List Table 7 Colorful - Accent 2"/>
    <w:basedOn w:val="19"/>
    <w:uiPriority w:val="99"/>
    <w:tblPr>
      <w:tblBorders>
        <w:right w:val="single" w:color="F4B285" w:themeColor="accent2" w:themeTint="97" w:sz="4" w:space="0"/>
      </w:tblBorders>
      <w:tblCellMar>
        <w:top w:w="0" w:type="dxa"/>
        <w:left w:w="108" w:type="dxa"/>
        <w:bottom w:w="0" w:type="dxa"/>
        <w:right w:w="108" w:type="dxa"/>
      </w:tblCellMar>
    </w:tblPr>
    <w:tblStylePr w:type="firstRow">
      <w:rPr>
        <w:rFonts w:ascii="Arial" w:hAnsi="Arial"/>
        <w:i/>
        <w:color w:val="F4B285" w:themeColor="accent2" w:themeShade="95" w:themeTint="97"/>
        <w:sz w:val="22"/>
      </w:rPr>
      <w:tcPr>
        <w:tcBorders>
          <w:top w:val="nil"/>
          <w:left w:val="nil"/>
          <w:bottom w:val="single" w:color="F4B285" w:themeColor="accent2" w:themeTint="97" w:sz="4" w:space="0"/>
          <w:right w:val="nil"/>
        </w:tcBorders>
        <w:shd w:val="clear" w:color="FFFFFF" w:fill="FFFFFF" w:themeFill="light1"/>
      </w:tcPr>
    </w:tblStylePr>
    <w:tblStylePr w:type="lastRow">
      <w:rPr>
        <w:rFonts w:ascii="Arial" w:hAnsi="Arial"/>
        <w:i/>
        <w:color w:val="F4B285" w:themeColor="accent2" w:themeShade="95" w:themeTint="97"/>
        <w:sz w:val="22"/>
      </w:rPr>
      <w:tcPr>
        <w:tcBorders>
          <w:top w:val="single" w:color="F4B285" w:themeColor="accent2" w:themeTint="97" w:sz="4" w:space="0"/>
          <w:left w:val="nil"/>
          <w:bottom w:val="nil"/>
          <w:right w:val="nil"/>
        </w:tcBorders>
        <w:shd w:val="clear" w:color="FFFFFF" w:fill="FFFFFF" w:themeFill="light1"/>
      </w:tcPr>
    </w:tblStylePr>
    <w:tblStylePr w:type="firstCol">
      <w:pPr>
        <w:jc w:val="right"/>
      </w:pPr>
      <w:rPr>
        <w:rFonts w:ascii="Arial" w:hAnsi="Arial"/>
        <w:i/>
        <w:color w:val="F4B285" w:themeColor="accent2" w:themeShade="95" w:themeTint="97"/>
        <w:sz w:val="22"/>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Shade="95" w:themeTint="97"/>
        <w:sz w:val="22"/>
      </w:rPr>
      <w:tcPr>
        <w:tcBorders>
          <w:top w:val="nil"/>
          <w:left w:val="single" w:color="F4B285" w:themeColor="accent2" w:themeTint="97" w:sz="4" w:space="0"/>
          <w:bottom w:val="nil"/>
          <w:right w:val="nil"/>
        </w:tcBorders>
        <w:shd w:val="clear" w:color="FFFFFF" w:fill="FFFFFF"/>
      </w:tcPr>
    </w:tblStylePr>
    <w:tblStylePr w:type="band1Vert">
      <w:tcPr>
        <w:shd w:val="clear" w:color="FFFFFF" w:fill="FADECB" w:themeFill="accent2" w:themeFillTint="40"/>
      </w:tcPr>
    </w:tblStylePr>
    <w:tblStylePr w:type="band1Horz">
      <w:rPr>
        <w:rFonts w:ascii="Arial" w:hAnsi="Arial"/>
        <w:color w:val="F4B285" w:themeColor="accent2" w:themeShade="95" w:themeTint="97"/>
        <w:sz w:val="22"/>
      </w:rPr>
      <w:tcPr>
        <w:shd w:val="clear" w:color="FFFFFF" w:fill="FADECB" w:themeFill="accent2" w:themeFillTint="40"/>
      </w:tcPr>
    </w:tblStylePr>
    <w:tblStylePr w:type="band2Horz">
      <w:rPr>
        <w:rFonts w:ascii="Arial" w:hAnsi="Arial"/>
        <w:color w:val="F4B285" w:themeColor="accent2" w:themeShade="95" w:themeTint="97"/>
        <w:sz w:val="22"/>
      </w:rPr>
    </w:tblStylePr>
  </w:style>
  <w:style w:type="table" w:customStyle="1" w:styleId="158">
    <w:name w:val="List Table 7 Colorful - Accent 3"/>
    <w:basedOn w:val="19"/>
    <w:uiPriority w:val="99"/>
    <w:tblPr>
      <w:tblBorders>
        <w:right w:val="single" w:color="C9C9C9" w:themeColor="accent3" w:themeTint="98" w:sz="4" w:space="0"/>
      </w:tblBorders>
      <w:tblCellMar>
        <w:top w:w="0" w:type="dxa"/>
        <w:left w:w="108" w:type="dxa"/>
        <w:bottom w:w="0" w:type="dxa"/>
        <w:right w:w="108" w:type="dxa"/>
      </w:tblCellMar>
    </w:tblPr>
    <w:tblStylePr w:type="firstRow">
      <w:rPr>
        <w:rFonts w:ascii="Arial" w:hAnsi="Arial"/>
        <w:i/>
        <w:color w:val="C9C9C9" w:themeColor="accent3" w:themeShade="95" w:themeTint="98"/>
        <w:sz w:val="22"/>
      </w:rPr>
      <w:tcPr>
        <w:tcBorders>
          <w:top w:val="nil"/>
          <w:left w:val="nil"/>
          <w:bottom w:val="single" w:color="C9C9C9" w:themeColor="accent3" w:themeTint="98" w:sz="4" w:space="0"/>
          <w:right w:val="nil"/>
        </w:tcBorders>
        <w:shd w:val="clear" w:color="FFFFFF" w:fill="FFFFFF" w:themeFill="light1"/>
      </w:tcPr>
    </w:tblStylePr>
    <w:tblStylePr w:type="lastRow">
      <w:rPr>
        <w:rFonts w:ascii="Arial" w:hAnsi="Arial"/>
        <w:i/>
        <w:color w:val="C9C9C9" w:themeColor="accent3" w:themeShade="95" w:themeTint="98"/>
        <w:sz w:val="22"/>
      </w:rPr>
      <w:tcPr>
        <w:tcBorders>
          <w:top w:val="single" w:color="C9C9C9" w:themeColor="accent3" w:themeTint="98" w:sz="4" w:space="0"/>
          <w:left w:val="nil"/>
          <w:bottom w:val="nil"/>
          <w:right w:val="nil"/>
        </w:tcBorders>
        <w:shd w:val="clear" w:color="FFFFFF" w:fill="FFFFFF" w:themeFill="light1"/>
      </w:tcPr>
    </w:tblStylePr>
    <w:tblStylePr w:type="firstCol">
      <w:pPr>
        <w:jc w:val="right"/>
      </w:pPr>
      <w:rPr>
        <w:rFonts w:ascii="Arial" w:hAnsi="Arial"/>
        <w:i/>
        <w:color w:val="C9C9C9" w:themeColor="accent3" w:themeShade="95" w:themeTint="98"/>
        <w:sz w:val="22"/>
      </w:rPr>
      <w:tcPr>
        <w:tcBorders>
          <w:top w:val="nil"/>
          <w:left w:val="nil"/>
          <w:bottom w:val="nil"/>
          <w:right w:val="single" w:color="C9C9C9" w:themeColor="accent3" w:themeTint="98" w:sz="4" w:space="0"/>
        </w:tcBorders>
        <w:shd w:val="clear" w:color="FFFFFF" w:fill="FFFFFF"/>
      </w:tcPr>
    </w:tblStylePr>
    <w:tblStylePr w:type="lastCol">
      <w:rPr>
        <w:rFonts w:ascii="Arial" w:hAnsi="Arial"/>
        <w:i/>
        <w:color w:val="C9C9C9" w:themeColor="accent3" w:themeShade="95" w:themeTint="98"/>
        <w:sz w:val="22"/>
      </w:rPr>
      <w:tcPr>
        <w:tcBorders>
          <w:top w:val="nil"/>
          <w:left w:val="single" w:color="C9C9C9" w:themeColor="accent3" w:themeTint="98" w:sz="4" w:space="0"/>
          <w:bottom w:val="nil"/>
          <w:right w:val="nil"/>
        </w:tcBorders>
        <w:shd w:val="clear" w:color="FFFFFF" w:fill="FFFFFF"/>
      </w:tcPr>
    </w:tblStylePr>
    <w:tblStylePr w:type="band1Vert">
      <w:tcPr>
        <w:shd w:val="clear" w:color="FFFFFF" w:fill="E8E8E8" w:themeFill="accent3" w:themeFillTint="40"/>
      </w:tcPr>
    </w:tblStylePr>
    <w:tblStylePr w:type="band1Horz">
      <w:rPr>
        <w:rFonts w:ascii="Arial" w:hAnsi="Arial"/>
        <w:color w:val="C9C9C9" w:themeColor="accent3" w:themeShade="95" w:themeTint="98"/>
        <w:sz w:val="22"/>
      </w:rPr>
      <w:tcPr>
        <w:shd w:val="clear" w:color="FFFFFF" w:fill="E8E8E8" w:themeFill="accent3" w:themeFillTint="40"/>
      </w:tcPr>
    </w:tblStylePr>
    <w:tblStylePr w:type="band2Horz">
      <w:rPr>
        <w:rFonts w:ascii="Arial" w:hAnsi="Arial"/>
        <w:color w:val="C9C9C9" w:themeColor="accent3" w:themeShade="95" w:themeTint="98"/>
        <w:sz w:val="22"/>
      </w:rPr>
    </w:tblStylePr>
  </w:style>
  <w:style w:type="table" w:customStyle="1" w:styleId="159">
    <w:name w:val="List Table 7 Colorful - Accent 4"/>
    <w:basedOn w:val="19"/>
    <w:uiPriority w:val="99"/>
    <w:tblPr>
      <w:tblBorders>
        <w:right w:val="single" w:color="FFD864" w:themeColor="accent4" w:themeTint="9A" w:sz="4" w:space="0"/>
      </w:tblBorders>
      <w:tblCellMar>
        <w:top w:w="0" w:type="dxa"/>
        <w:left w:w="108" w:type="dxa"/>
        <w:bottom w:w="0" w:type="dxa"/>
        <w:right w:w="108" w:type="dxa"/>
      </w:tblCellMar>
    </w:tblPr>
    <w:tblStylePr w:type="firstRow">
      <w:rPr>
        <w:rFonts w:ascii="Arial" w:hAnsi="Arial"/>
        <w:i/>
        <w:color w:val="FFD864" w:themeColor="accent4" w:themeShade="95" w:themeTint="9A"/>
        <w:sz w:val="22"/>
      </w:rPr>
      <w:tcPr>
        <w:tcBorders>
          <w:top w:val="nil"/>
          <w:left w:val="nil"/>
          <w:bottom w:val="single" w:color="FFD864" w:themeColor="accent4" w:themeTint="9A" w:sz="4" w:space="0"/>
          <w:right w:val="nil"/>
        </w:tcBorders>
        <w:shd w:val="clear" w:color="FFFFFF" w:fill="FFFFFF" w:themeFill="light1"/>
      </w:tcPr>
    </w:tblStylePr>
    <w:tblStylePr w:type="lastRow">
      <w:rPr>
        <w:rFonts w:ascii="Arial" w:hAnsi="Arial"/>
        <w:i/>
        <w:color w:val="FFD864" w:themeColor="accent4" w:themeShade="95" w:themeTint="9A"/>
        <w:sz w:val="22"/>
      </w:rPr>
      <w:tcPr>
        <w:tcBorders>
          <w:top w:val="single" w:color="FFD864" w:themeColor="accent4" w:themeTint="9A" w:sz="4" w:space="0"/>
          <w:left w:val="nil"/>
          <w:bottom w:val="nil"/>
          <w:right w:val="nil"/>
        </w:tcBorders>
        <w:shd w:val="clear" w:color="FFFFFF" w:fill="FFFFFF" w:themeFill="light1"/>
      </w:tcPr>
    </w:tblStylePr>
    <w:tblStylePr w:type="firstCol">
      <w:pPr>
        <w:jc w:val="right"/>
      </w:pPr>
      <w:rPr>
        <w:rFonts w:ascii="Arial" w:hAnsi="Arial"/>
        <w:i/>
        <w:color w:val="FFD864" w:themeColor="accent4" w:themeShade="95" w:themeTint="9A"/>
        <w:sz w:val="22"/>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864" w:themeColor="accent4" w:themeShade="95" w:themeTint="9A"/>
        <w:sz w:val="22"/>
      </w:rPr>
      <w:tcPr>
        <w:tcBorders>
          <w:top w:val="nil"/>
          <w:left w:val="single" w:color="FFD864" w:themeColor="accent4" w:themeTint="9A" w:sz="4" w:space="0"/>
          <w:bottom w:val="nil"/>
          <w:right w:val="nil"/>
        </w:tcBorders>
        <w:shd w:val="clear" w:color="FFFFFF" w:fill="FFFFFF"/>
      </w:tcPr>
    </w:tblStylePr>
    <w:tblStylePr w:type="band1Vert">
      <w:tcPr>
        <w:shd w:val="clear" w:color="FFFFFF" w:fill="FFEFBE" w:themeFill="accent4" w:themeFillTint="40"/>
      </w:tcPr>
    </w:tblStylePr>
    <w:tblStylePr w:type="band1Horz">
      <w:rPr>
        <w:rFonts w:ascii="Arial" w:hAnsi="Arial"/>
        <w:color w:val="FFD864" w:themeColor="accent4" w:themeShade="95" w:themeTint="9A"/>
        <w:sz w:val="22"/>
      </w:rPr>
      <w:tcPr>
        <w:shd w:val="clear" w:color="FFFFFF" w:fill="FFEFBE" w:themeFill="accent4" w:themeFillTint="40"/>
      </w:tcPr>
    </w:tblStylePr>
    <w:tblStylePr w:type="band2Horz">
      <w:rPr>
        <w:rFonts w:ascii="Arial" w:hAnsi="Arial"/>
        <w:color w:val="FFD864" w:themeColor="accent4" w:themeShade="95" w:themeTint="9A"/>
        <w:sz w:val="22"/>
      </w:rPr>
    </w:tblStylePr>
  </w:style>
  <w:style w:type="table" w:customStyle="1" w:styleId="160">
    <w:name w:val="List Table 7 Colorful - Accent 5"/>
    <w:basedOn w:val="19"/>
    <w:uiPriority w:val="99"/>
    <w:tblPr>
      <w:tblBorders>
        <w:right w:val="single" w:color="8EA9DB" w:themeColor="accent5" w:themeTint="9A" w:sz="4" w:space="0"/>
      </w:tblBorders>
      <w:tblCellMar>
        <w:top w:w="0" w:type="dxa"/>
        <w:left w:w="108" w:type="dxa"/>
        <w:bottom w:w="0" w:type="dxa"/>
        <w:right w:w="108" w:type="dxa"/>
      </w:tblCellMar>
    </w:tblPr>
    <w:tblStylePr w:type="firstRow">
      <w:rPr>
        <w:rFonts w:ascii="Arial" w:hAnsi="Arial"/>
        <w:i/>
        <w:color w:val="8EA9DB" w:themeColor="accent5" w:themeShade="95" w:themeTint="9A"/>
        <w:sz w:val="22"/>
      </w:rPr>
      <w:tcPr>
        <w:tcBorders>
          <w:top w:val="nil"/>
          <w:left w:val="nil"/>
          <w:bottom w:val="single" w:color="8EA9DB" w:themeColor="accent5" w:themeTint="9A" w:sz="4" w:space="0"/>
          <w:right w:val="nil"/>
        </w:tcBorders>
        <w:shd w:val="clear" w:color="FFFFFF" w:fill="FFFFFF" w:themeFill="light1"/>
      </w:tcPr>
    </w:tblStylePr>
    <w:tblStylePr w:type="lastRow">
      <w:rPr>
        <w:rFonts w:ascii="Arial" w:hAnsi="Arial"/>
        <w:i/>
        <w:color w:val="8EA9DB" w:themeColor="accent5" w:themeShade="95" w:themeTint="9A"/>
        <w:sz w:val="22"/>
      </w:rPr>
      <w:tcPr>
        <w:tcBorders>
          <w:top w:val="single" w:color="8EA9DB" w:themeColor="accent5" w:themeTint="9A" w:sz="4" w:space="0"/>
          <w:left w:val="nil"/>
          <w:bottom w:val="nil"/>
          <w:right w:val="nil"/>
        </w:tcBorders>
        <w:shd w:val="clear" w:color="FFFFFF" w:fill="FFFFFF" w:themeFill="light1"/>
      </w:tcPr>
    </w:tblStylePr>
    <w:tblStylePr w:type="firstCol">
      <w:pPr>
        <w:jc w:val="right"/>
      </w:pPr>
      <w:rPr>
        <w:rFonts w:ascii="Arial" w:hAnsi="Arial"/>
        <w:i/>
        <w:color w:val="8EA9DB" w:themeColor="accent5" w:themeShade="95" w:themeTint="9A"/>
        <w:sz w:val="22"/>
      </w:rPr>
      <w:tcPr>
        <w:tcBorders>
          <w:top w:val="nil"/>
          <w:left w:val="nil"/>
          <w:bottom w:val="nil"/>
          <w:right w:val="single" w:color="8EA9DB" w:themeColor="accent5" w:themeTint="9A" w:sz="4" w:space="0"/>
        </w:tcBorders>
        <w:shd w:val="clear" w:color="FFFFFF" w:fill="FFFFFF"/>
      </w:tcPr>
    </w:tblStylePr>
    <w:tblStylePr w:type="lastCol">
      <w:rPr>
        <w:rFonts w:ascii="Arial" w:hAnsi="Arial"/>
        <w:i/>
        <w:color w:val="8EA9DB" w:themeColor="accent5" w:themeShade="95" w:themeTint="9A"/>
        <w:sz w:val="22"/>
      </w:rPr>
      <w:tcPr>
        <w:tcBorders>
          <w:top w:val="nil"/>
          <w:left w:val="single" w:color="8EA9DB" w:themeColor="accent5" w:themeTint="9A" w:sz="4" w:space="0"/>
          <w:bottom w:val="nil"/>
          <w:right w:val="nil"/>
        </w:tcBorders>
        <w:shd w:val="clear" w:color="FFFFFF" w:fill="FFFFFF"/>
      </w:tcPr>
    </w:tblStylePr>
    <w:tblStylePr w:type="band1Vert">
      <w:tcPr>
        <w:shd w:val="clear" w:color="FFFFFF" w:fill="D0DBF0" w:themeFill="accent5" w:themeFillTint="40"/>
      </w:tcPr>
    </w:tblStylePr>
    <w:tblStylePr w:type="band1Horz">
      <w:rPr>
        <w:rFonts w:ascii="Arial" w:hAnsi="Arial"/>
        <w:color w:val="8EA9DB" w:themeColor="accent5" w:themeShade="95" w:themeTint="9A"/>
        <w:sz w:val="22"/>
      </w:rPr>
      <w:tcPr>
        <w:shd w:val="clear" w:color="FFFFFF" w:fill="D0DBF0" w:themeFill="accent5" w:themeFillTint="40"/>
      </w:tcPr>
    </w:tblStylePr>
    <w:tblStylePr w:type="band2Horz">
      <w:rPr>
        <w:rFonts w:ascii="Arial" w:hAnsi="Arial"/>
        <w:color w:val="8EA9DB" w:themeColor="accent5" w:themeShade="95" w:themeTint="9A"/>
        <w:sz w:val="22"/>
      </w:rPr>
    </w:tblStylePr>
  </w:style>
  <w:style w:type="table" w:customStyle="1" w:styleId="161">
    <w:name w:val="List Table 7 Colorful - Accent 6"/>
    <w:basedOn w:val="19"/>
    <w:uiPriority w:val="99"/>
    <w:tblPr>
      <w:tblBorders>
        <w:right w:val="single" w:color="A9D08E" w:themeColor="accent6" w:themeTint="98" w:sz="4" w:space="0"/>
      </w:tblBorders>
      <w:tblCellMar>
        <w:top w:w="0" w:type="dxa"/>
        <w:left w:w="108" w:type="dxa"/>
        <w:bottom w:w="0" w:type="dxa"/>
        <w:right w:w="108" w:type="dxa"/>
      </w:tblCellMar>
    </w:tblPr>
    <w:tblStylePr w:type="firstRow">
      <w:rPr>
        <w:rFonts w:ascii="Arial" w:hAnsi="Arial"/>
        <w:i/>
        <w:color w:val="A9D08E" w:themeColor="accent6" w:themeShade="95" w:themeTint="98"/>
        <w:sz w:val="22"/>
      </w:rPr>
      <w:tcPr>
        <w:tcBorders>
          <w:top w:val="nil"/>
          <w:left w:val="nil"/>
          <w:bottom w:val="single" w:color="A9D08E" w:themeColor="accent6" w:themeTint="98" w:sz="4" w:space="0"/>
          <w:right w:val="nil"/>
        </w:tcBorders>
        <w:shd w:val="clear" w:color="FFFFFF" w:fill="FFFFFF" w:themeFill="light1"/>
      </w:tcPr>
    </w:tblStylePr>
    <w:tblStylePr w:type="lastRow">
      <w:rPr>
        <w:rFonts w:ascii="Arial" w:hAnsi="Arial"/>
        <w:i/>
        <w:color w:val="A9D08E" w:themeColor="accent6" w:themeShade="95" w:themeTint="98"/>
        <w:sz w:val="22"/>
      </w:rPr>
      <w:tcPr>
        <w:tcBorders>
          <w:top w:val="single" w:color="A9D08E" w:themeColor="accent6" w:themeTint="98" w:sz="4" w:space="0"/>
          <w:left w:val="nil"/>
          <w:bottom w:val="nil"/>
          <w:right w:val="nil"/>
        </w:tcBorders>
        <w:shd w:val="clear" w:color="FFFFFF" w:fill="FFFFFF" w:themeFill="light1"/>
      </w:tcPr>
    </w:tblStylePr>
    <w:tblStylePr w:type="firstCol">
      <w:pPr>
        <w:jc w:val="right"/>
      </w:pPr>
      <w:rPr>
        <w:rFonts w:ascii="Arial" w:hAnsi="Arial"/>
        <w:i/>
        <w:color w:val="A9D08E" w:themeColor="accent6" w:themeShade="95" w:themeTint="98"/>
        <w:sz w:val="22"/>
      </w:rPr>
      <w:tcPr>
        <w:tcBorders>
          <w:top w:val="nil"/>
          <w:left w:val="nil"/>
          <w:bottom w:val="nil"/>
          <w:right w:val="single" w:color="A9D08E" w:themeColor="accent6" w:themeTint="98" w:sz="4" w:space="0"/>
        </w:tcBorders>
        <w:shd w:val="clear" w:color="FFFFFF" w:fill="FFFFFF"/>
      </w:tcPr>
    </w:tblStylePr>
    <w:tblStylePr w:type="lastCol">
      <w:rPr>
        <w:rFonts w:ascii="Arial" w:hAnsi="Arial"/>
        <w:i/>
        <w:color w:val="A9D08E" w:themeColor="accent6" w:themeShade="95" w:themeTint="98"/>
        <w:sz w:val="22"/>
      </w:rPr>
      <w:tcPr>
        <w:tcBorders>
          <w:top w:val="nil"/>
          <w:left w:val="single" w:color="A9D08E" w:themeColor="accent6" w:themeTint="98" w:sz="4" w:space="0"/>
          <w:bottom w:val="nil"/>
          <w:right w:val="nil"/>
        </w:tcBorders>
        <w:shd w:val="clear" w:color="FFFFFF" w:fill="FFFFFF"/>
      </w:tcPr>
    </w:tblStylePr>
    <w:tblStylePr w:type="band1Vert">
      <w:tcPr>
        <w:shd w:val="clear" w:color="FFFFFF" w:fill="DAEBCF" w:themeFill="accent6" w:themeFillTint="40"/>
      </w:tcPr>
    </w:tblStylePr>
    <w:tblStylePr w:type="band1Horz">
      <w:rPr>
        <w:rFonts w:ascii="Arial" w:hAnsi="Arial"/>
        <w:color w:val="A9D08E" w:themeColor="accent6" w:themeShade="95" w:themeTint="98"/>
        <w:sz w:val="22"/>
      </w:rPr>
      <w:tcPr>
        <w:shd w:val="clear" w:color="FFFFFF" w:fill="DAEBCF" w:themeFill="accent6" w:themeFillTint="40"/>
      </w:tcPr>
    </w:tblStylePr>
    <w:tblStylePr w:type="band2Horz">
      <w:rPr>
        <w:rFonts w:ascii="Arial" w:hAnsi="Arial"/>
        <w:color w:val="A9D08E" w:themeColor="accent6" w:themeShade="95" w:themeTint="98"/>
        <w:sz w:val="22"/>
      </w:rPr>
    </w:tblStylePr>
  </w:style>
  <w:style w:type="table" w:customStyle="1" w:styleId="162">
    <w:name w:val="Lined - Accent"/>
    <w:basedOn w:val="19"/>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3">
    <w:name w:val="Lined - Accent 1"/>
    <w:basedOn w:val="19"/>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68A3D8" w:themeFill="accent1" w:themeFillTint="EA"/>
      </w:tcPr>
    </w:tblStylePr>
    <w:tblStylePr w:type="lastRow">
      <w:rPr>
        <w:rFonts w:ascii="Arial" w:hAnsi="Arial"/>
        <w:color w:val="F2F2F2"/>
        <w:sz w:val="22"/>
      </w:rPr>
      <w:tcPr>
        <w:shd w:val="clear" w:color="FFFFFF" w:fill="68A3D8" w:themeFill="accent1" w:themeFillTint="EA"/>
      </w:tcPr>
    </w:tblStylePr>
    <w:tblStylePr w:type="firstCol">
      <w:rPr>
        <w:rFonts w:ascii="Arial" w:hAnsi="Arial"/>
        <w:color w:val="F2F2F2"/>
        <w:sz w:val="22"/>
      </w:rPr>
      <w:tcPr>
        <w:shd w:val="clear" w:color="FFFFFF" w:fill="68A3D8" w:themeFill="accent1" w:themeFillTint="EA"/>
      </w:tcPr>
    </w:tblStylePr>
    <w:tblStylePr w:type="lastCol">
      <w:rPr>
        <w:rFonts w:ascii="Arial" w:hAnsi="Arial"/>
        <w:color w:val="F2F2F2"/>
        <w:sz w:val="22"/>
      </w:rPr>
      <w:tcPr>
        <w:shd w:val="clear" w:color="FFFFFF"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BDFF1" w:themeFill="accent1" w:themeFillTint="50"/>
      </w:tcPr>
    </w:tblStylePr>
  </w:style>
  <w:style w:type="table" w:customStyle="1" w:styleId="164">
    <w:name w:val="Lined - Accent 2"/>
    <w:basedOn w:val="19"/>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65">
    <w:name w:val="Lined - Accent 3"/>
    <w:basedOn w:val="19"/>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66">
    <w:name w:val="Lined - Accent 4"/>
    <w:basedOn w:val="19"/>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67">
    <w:name w:val="Lined - Accent 5"/>
    <w:basedOn w:val="19"/>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4472C4" w:themeFill="accent5"/>
      </w:tcPr>
    </w:tblStylePr>
    <w:tblStylePr w:type="lastRow">
      <w:rPr>
        <w:rFonts w:ascii="Arial" w:hAnsi="Arial"/>
        <w:color w:val="F2F2F2"/>
        <w:sz w:val="22"/>
      </w:rPr>
      <w:tcPr>
        <w:shd w:val="clear" w:color="FFFFFF" w:fill="4472C4" w:themeFill="accent5"/>
      </w:tcPr>
    </w:tblStylePr>
    <w:tblStylePr w:type="firstCol">
      <w:rPr>
        <w:rFonts w:ascii="Arial" w:hAnsi="Arial"/>
        <w:color w:val="F2F2F2"/>
        <w:sz w:val="22"/>
      </w:rPr>
      <w:tcPr>
        <w:shd w:val="clear" w:color="FFFFFF" w:fill="4472C4" w:themeFill="accent5"/>
      </w:tcPr>
    </w:tblStylePr>
    <w:tblStylePr w:type="lastCol">
      <w:rPr>
        <w:rFonts w:ascii="Arial" w:hAnsi="Arial"/>
        <w:color w:val="F2F2F2"/>
        <w:sz w:val="22"/>
      </w:r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8E2F2" w:themeFill="accent5" w:themeFillTint="34"/>
      </w:tcPr>
    </w:tblStylePr>
  </w:style>
  <w:style w:type="table" w:customStyle="1" w:styleId="168">
    <w:name w:val="Lined - Accent 6"/>
    <w:basedOn w:val="19"/>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69">
    <w:name w:val="Bordered &amp; Lined - Accent"/>
    <w:basedOn w:val="19"/>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70">
    <w:name w:val="Bordered &amp; Lined - Accent 1"/>
    <w:basedOn w:val="19"/>
    <w:uiPriority w:val="99"/>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68A3D8" w:themeFill="accent1" w:themeFillTint="EA"/>
      </w:tcPr>
    </w:tblStylePr>
    <w:tblStylePr w:type="lastRow">
      <w:rPr>
        <w:rFonts w:ascii="Arial" w:hAnsi="Arial"/>
        <w:color w:val="F2F2F2"/>
        <w:sz w:val="22"/>
      </w:rPr>
      <w:tcPr>
        <w:shd w:val="clear" w:color="FFFFFF" w:fill="68A3D8" w:themeFill="accent1" w:themeFillTint="EA"/>
      </w:tcPr>
    </w:tblStylePr>
    <w:tblStylePr w:type="firstCol">
      <w:rPr>
        <w:rFonts w:ascii="Arial" w:hAnsi="Arial"/>
        <w:color w:val="F2F2F2"/>
        <w:sz w:val="22"/>
      </w:rPr>
      <w:tcPr>
        <w:shd w:val="clear" w:color="FFFFFF" w:fill="68A3D8" w:themeFill="accent1" w:themeFillTint="EA"/>
      </w:tcPr>
    </w:tblStylePr>
    <w:tblStylePr w:type="lastCol">
      <w:rPr>
        <w:rFonts w:ascii="Arial" w:hAnsi="Arial"/>
        <w:color w:val="F2F2F2"/>
        <w:sz w:val="22"/>
      </w:rPr>
      <w:tcPr>
        <w:shd w:val="clear" w:color="FFFFFF"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BDFF1" w:themeFill="accent1" w:themeFillTint="50"/>
      </w:tcPr>
    </w:tblStylePr>
  </w:style>
  <w:style w:type="table" w:customStyle="1" w:styleId="171">
    <w:name w:val="Bordered &amp; Lined - Accent 2"/>
    <w:basedOn w:val="19"/>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72">
    <w:name w:val="Bordered &amp; Lined - Accent 3"/>
    <w:basedOn w:val="19"/>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73">
    <w:name w:val="Bordered &amp; Lined - Accent 4"/>
    <w:basedOn w:val="19"/>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74">
    <w:name w:val="Bordered &amp; Lined - Accent 5"/>
    <w:basedOn w:val="19"/>
    <w:uiPriority w:val="99"/>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4472C4" w:themeFill="accent5"/>
      </w:tcPr>
    </w:tblStylePr>
    <w:tblStylePr w:type="lastRow">
      <w:rPr>
        <w:rFonts w:ascii="Arial" w:hAnsi="Arial"/>
        <w:color w:val="F2F2F2"/>
        <w:sz w:val="22"/>
      </w:rPr>
      <w:tcPr>
        <w:shd w:val="clear" w:color="FFFFFF" w:fill="4472C4" w:themeFill="accent5"/>
      </w:tcPr>
    </w:tblStylePr>
    <w:tblStylePr w:type="firstCol">
      <w:rPr>
        <w:rFonts w:ascii="Arial" w:hAnsi="Arial"/>
        <w:color w:val="F2F2F2"/>
        <w:sz w:val="22"/>
      </w:rPr>
      <w:tcPr>
        <w:shd w:val="clear" w:color="FFFFFF" w:fill="4472C4" w:themeFill="accent5"/>
      </w:tcPr>
    </w:tblStylePr>
    <w:tblStylePr w:type="lastCol">
      <w:rPr>
        <w:rFonts w:ascii="Arial" w:hAnsi="Arial"/>
        <w:color w:val="F2F2F2"/>
        <w:sz w:val="22"/>
      </w:r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8E2F2" w:themeFill="accent5" w:themeFillTint="34"/>
      </w:tcPr>
    </w:tblStylePr>
  </w:style>
  <w:style w:type="table" w:customStyle="1" w:styleId="175">
    <w:name w:val="Bordered &amp; Lined - Accent 6"/>
    <w:basedOn w:val="19"/>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76">
    <w:name w:val="Bordered"/>
    <w:basedOn w:val="19"/>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108" w:type="dxa"/>
        <w:bottom w:w="0" w:type="dxa"/>
        <w:right w:w="108"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7">
    <w:name w:val="Bordered - Accent 1"/>
    <w:basedOn w:val="19"/>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8">
    <w:name w:val="Bordered - Accent 2"/>
    <w:basedOn w:val="19"/>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9">
    <w:name w:val="Bordered - Accent 3"/>
    <w:basedOn w:val="19"/>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80">
    <w:name w:val="Bordered - Accent 4"/>
    <w:basedOn w:val="19"/>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81">
    <w:name w:val="Bordered - Accent 5"/>
    <w:basedOn w:val="19"/>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82">
    <w:name w:val="Bordered - Accent 6"/>
    <w:basedOn w:val="19"/>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3">
    <w:name w:val="脚注文本 Char"/>
    <w:link w:val="13"/>
    <w:uiPriority w:val="99"/>
    <w:rPr>
      <w:sz w:val="18"/>
    </w:rPr>
  </w:style>
  <w:style w:type="character" w:customStyle="1" w:styleId="184">
    <w:name w:val="尾注文本 Char"/>
    <w:link w:val="6"/>
    <w:uiPriority w:val="99"/>
    <w:rPr>
      <w:sz w:val="20"/>
    </w:rPr>
  </w:style>
  <w:style w:type="paragraph" w:customStyle="1" w:styleId="185">
    <w:name w:val="TOC Heading"/>
    <w:unhideWhenUsed/>
    <w:uiPriority w:val="39"/>
    <w:rPr>
      <w:rFonts w:ascii="Times New Roman" w:hAnsi="Times New Roman" w:eastAsia="宋体" w:cs="Times New Roman"/>
      <w:lang w:val="en-US" w:eastAsia="zh-CN" w:bidi="ar-SA"/>
    </w:rPr>
  </w:style>
  <w:style w:type="character" w:customStyle="1" w:styleId="186">
    <w:name w:val="批注框文本 Char"/>
    <w:basedOn w:val="21"/>
    <w:link w:val="7"/>
    <w:qFormat/>
    <w:uiPriority w:val="0"/>
    <w:rPr>
      <w:sz w:val="18"/>
      <w:szCs w:val="18"/>
    </w:rPr>
  </w:style>
  <w:style w:type="character" w:customStyle="1" w:styleId="187">
    <w:name w:val="font11"/>
    <w:basedOn w:val="21"/>
    <w:qFormat/>
    <w:uiPriority w:val="0"/>
    <w:rPr>
      <w:rFonts w:hint="eastAsia" w:ascii="宋体" w:hAnsi="宋体" w:eastAsia="宋体" w:cs="宋体"/>
      <w:color w:val="000000"/>
      <w:sz w:val="22"/>
      <w:szCs w:val="22"/>
      <w:u w:val="none"/>
    </w:rPr>
  </w:style>
  <w:style w:type="character" w:customStyle="1" w:styleId="188">
    <w:name w:val="font01"/>
    <w:basedOn w:val="21"/>
    <w:qFormat/>
    <w:uiPriority w:val="0"/>
    <w:rPr>
      <w:rFonts w:hint="eastAsia" w:ascii="宋体" w:hAnsi="宋体" w:eastAsia="宋体" w:cs="宋体"/>
      <w:color w:val="000000"/>
      <w:sz w:val="24"/>
      <w:szCs w:val="24"/>
      <w:u w:val="none"/>
    </w:rPr>
  </w:style>
  <w:style w:type="character" w:customStyle="1" w:styleId="189">
    <w:name w:val="font21"/>
    <w:basedOn w:val="21"/>
    <w:qFormat/>
    <w:uiPriority w:val="0"/>
    <w:rPr>
      <w:rFonts w:hint="eastAsia" w:ascii="宋体" w:hAnsi="宋体" w:eastAsia="宋体" w:cs="宋体"/>
      <w:color w:val="000000"/>
      <w:sz w:val="24"/>
      <w:szCs w:val="24"/>
      <w:u w:val="none"/>
    </w:rPr>
  </w:style>
  <w:style w:type="character" w:customStyle="1" w:styleId="190">
    <w:name w:val="页眉 Char"/>
    <w:basedOn w:val="21"/>
    <w:link w:val="9"/>
    <w:semiHidden/>
    <w:uiPriority w:val="99"/>
    <w:rPr>
      <w:sz w:val="18"/>
      <w:szCs w:val="18"/>
    </w:rPr>
  </w:style>
  <w:style w:type="character" w:customStyle="1" w:styleId="191">
    <w:name w:val="页脚 Char"/>
    <w:basedOn w:val="21"/>
    <w:link w:val="8"/>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5176</Words>
  <Characters>5804</Characters>
  <Lines>42</Lines>
  <Paragraphs>12</Paragraphs>
  <TotalTime>79</TotalTime>
  <ScaleCrop>false</ScaleCrop>
  <LinksUpToDate>false</LinksUpToDate>
  <CharactersWithSpaces>5830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2022-08-02T04:20:00Z</dcterms:created>
  <dc:creator>陈冬雪</dc:creator>
  <cp:lastModifiedBy>哒哒陳</cp:lastModifiedBy>
  <cp:lastPrinted>2022-08-16T01:27:00Z</cp:lastPrinted>
  <dcterms:modified xsi:type="dcterms:W3CDTF">2022-09-20T09:41:43Z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ED857C7FD62B4F07AE1D8D60DE4C2432</vt:lpwstr>
  </property>
</Properties>
</file>