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
      <w:pPr>
        <w:jc w:val="center"/>
        <w:rPr>
          <w:rFonts w:ascii="黑体" w:hAnsi="黑体" w:eastAsia="黑体" w:cs="黑体"/>
          <w:sz w:val="52"/>
          <w:szCs w:val="52"/>
        </w:rPr>
      </w:pPr>
      <w:r>
        <w:rPr>
          <w:rFonts w:hint="eastAsia" w:ascii="黑体" w:hAnsi="黑体" w:eastAsia="黑体" w:cs="黑体"/>
          <w:sz w:val="52"/>
          <w:szCs w:val="52"/>
        </w:rPr>
        <w:t>柳州市鱼峰区人民检察院</w:t>
      </w:r>
    </w:p>
    <w:p>
      <w:pPr>
        <w:jc w:val="center"/>
        <w:rPr>
          <w:rFonts w:ascii="黑体" w:hAnsi="黑体" w:eastAsia="黑体" w:cs="黑体"/>
          <w:sz w:val="52"/>
          <w:szCs w:val="52"/>
        </w:rPr>
      </w:pPr>
      <w:r>
        <w:rPr>
          <w:rFonts w:hint="eastAsia" w:ascii="黑体" w:hAnsi="黑体" w:eastAsia="黑体" w:cs="黑体"/>
          <w:sz w:val="52"/>
          <w:szCs w:val="52"/>
        </w:rPr>
        <w:t>2021年度部门决算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6"/>
        <w:jc w:val="left"/>
        <w:rPr>
          <w:rFonts w:ascii="仿宋" w:hAnsi="仿宋" w:eastAsia="仿宋" w:cs="仿宋"/>
          <w:b/>
          <w:sz w:val="32"/>
          <w:szCs w:val="32"/>
        </w:rPr>
      </w:pPr>
    </w:p>
    <w:p>
      <w:pPr>
        <w:ind w:firstLine="646"/>
        <w:jc w:val="left"/>
        <w:rPr>
          <w:rFonts w:ascii="仿宋" w:hAnsi="仿宋" w:eastAsia="仿宋" w:cs="仿宋"/>
          <w:b/>
          <w:sz w:val="32"/>
          <w:szCs w:val="32"/>
        </w:rPr>
      </w:pPr>
      <w:r>
        <w:rPr>
          <w:rFonts w:hint="eastAsia" w:ascii="仿宋" w:hAnsi="仿宋" w:eastAsia="仿宋" w:cs="仿宋"/>
          <w:b/>
          <w:sz w:val="32"/>
          <w:szCs w:val="32"/>
        </w:rPr>
        <w:t>第一部分：柳州市鱼峰区人民检察院概况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二、单位机构设置情况</w:t>
      </w:r>
    </w:p>
    <w:p>
      <w:pPr>
        <w:ind w:firstLine="646"/>
        <w:jc w:val="left"/>
        <w:rPr>
          <w:rFonts w:ascii="仿宋" w:hAnsi="仿宋" w:eastAsia="仿宋" w:cs="仿宋"/>
          <w:b/>
          <w:sz w:val="32"/>
          <w:szCs w:val="32"/>
        </w:rPr>
      </w:pPr>
      <w:r>
        <w:rPr>
          <w:rFonts w:hint="eastAsia" w:ascii="仿宋" w:hAnsi="仿宋" w:eastAsia="仿宋" w:cs="仿宋"/>
          <w:b/>
          <w:sz w:val="32"/>
          <w:szCs w:val="32"/>
        </w:rPr>
        <w:t>第二部分：柳州市鱼峰区人民检察院2021年部门决算报表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表七：一般公共预算财政拨款“三公”经费支出决算表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ind w:firstLine="646"/>
        <w:jc w:val="left"/>
        <w:rPr>
          <w:rFonts w:ascii="仿宋" w:hAnsi="仿宋" w:eastAsia="仿宋" w:cs="仿宋"/>
          <w:b/>
          <w:sz w:val="32"/>
          <w:szCs w:val="32"/>
        </w:rPr>
      </w:pPr>
      <w:r>
        <w:rPr>
          <w:rFonts w:hint="eastAsia" w:ascii="仿宋" w:hAnsi="仿宋" w:eastAsia="仿宋" w:cs="仿宋"/>
          <w:b/>
          <w:sz w:val="32"/>
          <w:szCs w:val="32"/>
        </w:rPr>
        <w:t>第三部分：柳州市鱼峰区人民检察院2021年度部门决算情况说明</w:t>
      </w:r>
    </w:p>
    <w:p>
      <w:pPr>
        <w:autoSpaceDE w:val="0"/>
        <w:autoSpaceDN w:val="0"/>
        <w:adjustRightInd w:val="0"/>
        <w:ind w:firstLine="640" w:firstLineChars="200"/>
        <w:jc w:val="left"/>
        <w:rPr>
          <w:rFonts w:ascii="仿宋_GB2312" w:eastAsia="仿宋_GB2312"/>
          <w:kern w:val="0"/>
          <w:sz w:val="32"/>
          <w:szCs w:val="32"/>
        </w:rPr>
      </w:pPr>
      <w:r>
        <w:rPr>
          <w:rFonts w:hint="eastAsia" w:ascii="仿宋_GB2312" w:eastAsia="仿宋_GB2312"/>
          <w:kern w:val="0"/>
          <w:sz w:val="32"/>
          <w:szCs w:val="32"/>
        </w:rPr>
        <w:t>一、2021 年度收入支出决算总体情况。</w:t>
      </w:r>
    </w:p>
    <w:p>
      <w:pPr>
        <w:autoSpaceDE w:val="0"/>
        <w:autoSpaceDN w:val="0"/>
        <w:adjustRightInd w:val="0"/>
        <w:ind w:firstLine="640" w:firstLineChars="200"/>
        <w:jc w:val="left"/>
        <w:rPr>
          <w:rFonts w:ascii="仿宋_GB2312" w:eastAsia="仿宋_GB2312"/>
          <w:kern w:val="0"/>
          <w:sz w:val="32"/>
          <w:szCs w:val="32"/>
        </w:rPr>
      </w:pPr>
      <w:r>
        <w:rPr>
          <w:rFonts w:hint="eastAsia" w:ascii="仿宋_GB2312" w:eastAsia="仿宋_GB2312"/>
          <w:kern w:val="0"/>
          <w:sz w:val="32"/>
          <w:szCs w:val="32"/>
        </w:rPr>
        <w:t>二、2021 年度</w:t>
      </w:r>
      <w:r>
        <w:rPr>
          <w:rFonts w:hint="eastAsia" w:ascii="仿宋_GB2312" w:eastAsia="仿宋_GB2312"/>
          <w:sz w:val="32"/>
          <w:szCs w:val="32"/>
        </w:rPr>
        <w:t>一般</w:t>
      </w:r>
      <w:r>
        <w:rPr>
          <w:rFonts w:hint="eastAsia" w:ascii="仿宋_GB2312" w:eastAsia="仿宋_GB2312"/>
          <w:kern w:val="0"/>
          <w:sz w:val="32"/>
          <w:szCs w:val="32"/>
        </w:rPr>
        <w:t>公共预算财政拨款支出决算情况。</w:t>
      </w:r>
    </w:p>
    <w:p>
      <w:pPr>
        <w:autoSpaceDE w:val="0"/>
        <w:autoSpaceDN w:val="0"/>
        <w:adjustRightInd w:val="0"/>
        <w:ind w:firstLine="640" w:firstLineChars="200"/>
        <w:jc w:val="left"/>
        <w:rPr>
          <w:rFonts w:ascii="仿宋_GB2312" w:eastAsia="仿宋_GB2312"/>
          <w:kern w:val="0"/>
          <w:sz w:val="32"/>
          <w:szCs w:val="32"/>
        </w:rPr>
      </w:pPr>
      <w:r>
        <w:rPr>
          <w:rFonts w:hint="eastAsia" w:ascii="仿宋_GB2312" w:eastAsia="仿宋_GB2312"/>
          <w:kern w:val="0"/>
          <w:sz w:val="32"/>
          <w:szCs w:val="32"/>
        </w:rPr>
        <w:t>三、2021年度一般公共预算财政拨款基本支出决算情况说明。</w:t>
      </w:r>
    </w:p>
    <w:p>
      <w:pPr>
        <w:autoSpaceDE w:val="0"/>
        <w:autoSpaceDN w:val="0"/>
        <w:adjustRightInd w:val="0"/>
        <w:ind w:firstLine="640" w:firstLineChars="200"/>
        <w:jc w:val="left"/>
        <w:rPr>
          <w:rFonts w:ascii="仿宋_GB2312" w:eastAsia="仿宋_GB2312"/>
          <w:kern w:val="0"/>
          <w:sz w:val="32"/>
          <w:szCs w:val="32"/>
        </w:rPr>
      </w:pPr>
      <w:r>
        <w:rPr>
          <w:rFonts w:hint="eastAsia" w:ascii="仿宋_GB2312" w:eastAsia="仿宋_GB2312"/>
          <w:kern w:val="0"/>
          <w:sz w:val="32"/>
          <w:szCs w:val="32"/>
        </w:rPr>
        <w:t>四、2021 年度政府性基金支出决算情况。</w:t>
      </w:r>
    </w:p>
    <w:p>
      <w:pPr>
        <w:autoSpaceDE w:val="0"/>
        <w:autoSpaceDN w:val="0"/>
        <w:adjustRightInd w:val="0"/>
        <w:ind w:firstLine="640" w:firstLineChars="200"/>
        <w:jc w:val="left"/>
        <w:rPr>
          <w:rFonts w:ascii="仿宋_GB2312" w:eastAsia="仿宋_GB2312"/>
          <w:kern w:val="0"/>
          <w:sz w:val="32"/>
          <w:szCs w:val="32"/>
        </w:rPr>
      </w:pPr>
      <w:r>
        <w:rPr>
          <w:rFonts w:hint="eastAsia" w:ascii="仿宋_GB2312" w:eastAsia="仿宋_GB2312"/>
          <w:kern w:val="0"/>
          <w:sz w:val="32"/>
          <w:szCs w:val="32"/>
        </w:rPr>
        <w:t>五、2021年度国有资本经营预算支出决算情况</w:t>
      </w:r>
    </w:p>
    <w:p>
      <w:pPr>
        <w:autoSpaceDE w:val="0"/>
        <w:autoSpaceDN w:val="0"/>
        <w:adjustRightInd w:val="0"/>
        <w:ind w:firstLine="640" w:firstLineChars="200"/>
        <w:jc w:val="left"/>
        <w:rPr>
          <w:rFonts w:ascii="仿宋_GB2312" w:eastAsia="仿宋_GB2312"/>
          <w:kern w:val="0"/>
          <w:sz w:val="32"/>
          <w:szCs w:val="32"/>
        </w:rPr>
      </w:pPr>
      <w:r>
        <w:rPr>
          <w:rFonts w:hint="eastAsia" w:ascii="仿宋_GB2312" w:eastAsia="仿宋_GB2312"/>
          <w:kern w:val="0"/>
          <w:sz w:val="32"/>
          <w:szCs w:val="32"/>
        </w:rPr>
        <w:t>六、</w:t>
      </w:r>
      <w:r>
        <w:rPr>
          <w:rFonts w:hint="eastAsia" w:ascii="仿宋_GB2312" w:eastAsia="仿宋_GB2312"/>
          <w:sz w:val="32"/>
          <w:szCs w:val="32"/>
        </w:rPr>
        <w:t>一般</w:t>
      </w:r>
      <w:r>
        <w:rPr>
          <w:rFonts w:hint="eastAsia" w:ascii="仿宋_GB2312" w:eastAsia="仿宋_GB2312"/>
          <w:kern w:val="0"/>
          <w:sz w:val="32"/>
          <w:szCs w:val="32"/>
        </w:rPr>
        <w:t>公共预算财政拨款“三公”经费支出决算情况说明。</w:t>
      </w:r>
    </w:p>
    <w:p>
      <w:pPr>
        <w:ind w:firstLine="640" w:firstLineChars="200"/>
        <w:rPr>
          <w:rFonts w:ascii="Times New Roman" w:eastAsia="宋体"/>
          <w:szCs w:val="21"/>
        </w:rPr>
      </w:pPr>
      <w:r>
        <w:rPr>
          <w:rFonts w:hint="eastAsia" w:ascii="仿宋_GB2312" w:eastAsia="仿宋_GB2312"/>
          <w:kern w:val="0"/>
          <w:sz w:val="32"/>
          <w:szCs w:val="32"/>
        </w:rPr>
        <w:t>七、其他重要事项情况说明。</w:t>
      </w:r>
    </w:p>
    <w:p>
      <w:pPr>
        <w:ind w:firstLine="646"/>
        <w:jc w:val="left"/>
        <w:rPr>
          <w:rFonts w:ascii="仿宋" w:hAnsi="仿宋" w:eastAsia="仿宋" w:cs="仿宋"/>
          <w:b/>
          <w:sz w:val="32"/>
          <w:szCs w:val="32"/>
        </w:rPr>
      </w:pPr>
      <w:r>
        <w:rPr>
          <w:rFonts w:hint="eastAsia" w:ascii="仿宋" w:hAnsi="仿宋" w:eastAsia="仿宋" w:cs="仿宋"/>
          <w:b/>
          <w:sz w:val="32"/>
          <w:szCs w:val="32"/>
        </w:rPr>
        <w:t>第四部分：名词解释</w:t>
      </w:r>
    </w:p>
    <w:p>
      <w:pPr>
        <w:ind w:firstLine="646"/>
        <w:jc w:val="left"/>
        <w:rPr>
          <w:rFonts w:ascii="仿宋" w:hAnsi="仿宋" w:eastAsia="仿宋" w:cs="仿宋"/>
          <w:b/>
          <w:sz w:val="32"/>
          <w:szCs w:val="32"/>
        </w:rPr>
      </w:pPr>
    </w:p>
    <w:p>
      <w:pPr>
        <w:ind w:firstLine="646"/>
        <w:jc w:val="left"/>
        <w:rPr>
          <w:rFonts w:ascii="仿宋" w:hAnsi="仿宋" w:eastAsia="仿宋" w:cs="仿宋"/>
          <w:b/>
          <w:sz w:val="32"/>
          <w:szCs w:val="32"/>
        </w:rPr>
      </w:pPr>
    </w:p>
    <w:p>
      <w:pPr>
        <w:ind w:firstLine="646"/>
        <w:jc w:val="left"/>
        <w:rPr>
          <w:rFonts w:ascii="仿宋" w:hAnsi="仿宋" w:eastAsia="仿宋" w:cs="仿宋"/>
          <w:b/>
          <w:sz w:val="32"/>
          <w:szCs w:val="32"/>
        </w:rPr>
      </w:pPr>
    </w:p>
    <w:p>
      <w:pPr>
        <w:ind w:firstLine="646"/>
        <w:jc w:val="left"/>
        <w:rPr>
          <w:rFonts w:ascii="仿宋" w:hAnsi="仿宋" w:eastAsia="仿宋" w:cs="仿宋"/>
          <w:b/>
          <w:sz w:val="32"/>
          <w:szCs w:val="32"/>
        </w:rPr>
      </w:pPr>
    </w:p>
    <w:p>
      <w:pPr>
        <w:ind w:firstLine="646"/>
        <w:jc w:val="left"/>
        <w:rPr>
          <w:rFonts w:ascii="仿宋" w:hAnsi="仿宋" w:eastAsia="仿宋" w:cs="仿宋"/>
          <w:b/>
          <w:sz w:val="32"/>
          <w:szCs w:val="32"/>
        </w:rPr>
      </w:pPr>
    </w:p>
    <w:p>
      <w:pPr>
        <w:ind w:firstLine="646"/>
        <w:jc w:val="left"/>
        <w:rPr>
          <w:rFonts w:ascii="仿宋" w:hAnsi="仿宋" w:eastAsia="仿宋" w:cs="仿宋"/>
          <w:b/>
          <w:sz w:val="32"/>
          <w:szCs w:val="32"/>
        </w:rPr>
      </w:pPr>
    </w:p>
    <w:p>
      <w:pPr>
        <w:ind w:firstLine="646"/>
        <w:jc w:val="left"/>
        <w:rPr>
          <w:rFonts w:ascii="仿宋" w:hAnsi="仿宋" w:eastAsia="仿宋" w:cs="仿宋"/>
          <w:b/>
          <w:sz w:val="32"/>
          <w:szCs w:val="32"/>
        </w:rPr>
      </w:pPr>
    </w:p>
    <w:p>
      <w:pPr>
        <w:ind w:firstLine="646"/>
        <w:jc w:val="left"/>
        <w:rPr>
          <w:rFonts w:ascii="仿宋" w:hAnsi="仿宋" w:eastAsia="仿宋" w:cs="仿宋"/>
          <w:b/>
          <w:sz w:val="32"/>
          <w:szCs w:val="32"/>
        </w:rPr>
      </w:pPr>
    </w:p>
    <w:p>
      <w:pPr>
        <w:ind w:firstLine="646"/>
        <w:jc w:val="left"/>
        <w:rPr>
          <w:rFonts w:ascii="仿宋" w:hAnsi="仿宋" w:eastAsia="仿宋" w:cs="仿宋"/>
          <w:b/>
          <w:sz w:val="32"/>
          <w:szCs w:val="32"/>
        </w:rPr>
      </w:pPr>
    </w:p>
    <w:p>
      <w:pPr>
        <w:ind w:firstLine="646"/>
        <w:jc w:val="left"/>
        <w:rPr>
          <w:rFonts w:ascii="仿宋" w:hAnsi="仿宋" w:eastAsia="仿宋" w:cs="仿宋"/>
          <w:b/>
          <w:sz w:val="32"/>
          <w:szCs w:val="32"/>
        </w:rPr>
      </w:pPr>
    </w:p>
    <w:p>
      <w:pPr>
        <w:ind w:firstLine="646"/>
        <w:jc w:val="left"/>
        <w:rPr>
          <w:rFonts w:ascii="仿宋" w:hAnsi="仿宋" w:eastAsia="仿宋" w:cs="仿宋"/>
          <w:b/>
          <w:sz w:val="32"/>
          <w:szCs w:val="32"/>
        </w:rPr>
      </w:pPr>
    </w:p>
    <w:p>
      <w:pPr>
        <w:ind w:firstLine="646"/>
        <w:jc w:val="left"/>
        <w:rPr>
          <w:rFonts w:ascii="仿宋" w:hAnsi="仿宋" w:eastAsia="仿宋" w:cs="仿宋"/>
          <w:b/>
          <w:sz w:val="32"/>
          <w:szCs w:val="32"/>
        </w:rPr>
      </w:pPr>
    </w:p>
    <w:p>
      <w:pPr>
        <w:ind w:firstLine="646"/>
        <w:jc w:val="left"/>
        <w:rPr>
          <w:rFonts w:ascii="仿宋" w:hAnsi="仿宋" w:eastAsia="仿宋" w:cs="仿宋"/>
          <w:b/>
          <w:sz w:val="32"/>
          <w:szCs w:val="32"/>
        </w:rPr>
      </w:pPr>
    </w:p>
    <w:p>
      <w:pPr>
        <w:ind w:firstLine="646"/>
        <w:jc w:val="left"/>
        <w:rPr>
          <w:rFonts w:ascii="仿宋" w:hAnsi="仿宋" w:eastAsia="仿宋" w:cs="仿宋"/>
          <w:b/>
          <w:sz w:val="32"/>
          <w:szCs w:val="32"/>
        </w:rPr>
      </w:pPr>
    </w:p>
    <w:p>
      <w:pPr>
        <w:ind w:firstLine="646"/>
        <w:jc w:val="left"/>
        <w:rPr>
          <w:rFonts w:ascii="仿宋" w:hAnsi="仿宋" w:eastAsia="仿宋" w:cs="仿宋"/>
          <w:b/>
          <w:sz w:val="32"/>
          <w:szCs w:val="32"/>
        </w:rPr>
      </w:pPr>
    </w:p>
    <w:p>
      <w:pPr>
        <w:ind w:firstLine="646"/>
        <w:jc w:val="left"/>
        <w:rPr>
          <w:rFonts w:ascii="仿宋" w:hAnsi="仿宋" w:eastAsia="仿宋" w:cs="仿宋"/>
          <w:b/>
          <w:sz w:val="32"/>
          <w:szCs w:val="32"/>
        </w:rPr>
      </w:pPr>
    </w:p>
    <w:p>
      <w:pPr>
        <w:ind w:firstLine="1"/>
        <w:jc w:val="center"/>
        <w:rPr>
          <w:rFonts w:ascii="仿宋" w:hAnsi="仿宋" w:eastAsia="仿宋" w:cs="仿宋"/>
          <w:b/>
          <w:sz w:val="32"/>
          <w:szCs w:val="32"/>
        </w:rPr>
      </w:pPr>
      <w:r>
        <w:rPr>
          <w:rFonts w:hint="eastAsia" w:ascii="仿宋" w:hAnsi="仿宋" w:eastAsia="仿宋" w:cs="仿宋"/>
          <w:b/>
          <w:sz w:val="32"/>
          <w:szCs w:val="32"/>
        </w:rPr>
        <w:t>第一部分：柳州市鱼峰区人民检察院概况</w:t>
      </w:r>
    </w:p>
    <w:p>
      <w:pPr>
        <w:numPr>
          <w:ilvl w:val="0"/>
          <w:numId w:val="1"/>
        </w:numPr>
        <w:jc w:val="left"/>
        <w:rPr>
          <w:rFonts w:ascii="仿宋" w:hAnsi="仿宋" w:eastAsia="仿宋" w:cs="仿宋"/>
          <w:bCs/>
          <w:sz w:val="32"/>
          <w:szCs w:val="32"/>
        </w:rPr>
      </w:pPr>
      <w:r>
        <w:rPr>
          <w:rFonts w:hint="eastAsia" w:ascii="仿宋" w:hAnsi="仿宋" w:eastAsia="仿宋" w:cs="仿宋"/>
          <w:bCs/>
          <w:sz w:val="32"/>
          <w:szCs w:val="32"/>
        </w:rPr>
        <w:t>主要职能</w:t>
      </w:r>
    </w:p>
    <w:p>
      <w:pPr>
        <w:widowControl/>
        <w:wordWrap w:val="0"/>
        <w:spacing w:line="456" w:lineRule="auto"/>
        <w:ind w:firstLine="640"/>
        <w:jc w:val="left"/>
        <w:rPr>
          <w:rFonts w:ascii="仿宋" w:hAnsi="仿宋" w:eastAsia="仿宋" w:cs="仿宋"/>
          <w:sz w:val="32"/>
          <w:szCs w:val="32"/>
        </w:rPr>
      </w:pPr>
      <w:r>
        <w:rPr>
          <w:rFonts w:hint="eastAsia" w:ascii="仿宋" w:hAnsi="仿宋" w:eastAsia="仿宋" w:cs="仿宋"/>
          <w:kern w:val="0"/>
          <w:sz w:val="32"/>
          <w:szCs w:val="32"/>
        </w:rPr>
        <w:t>1、人民检察院是国家的法律监督机关。人民检察院依法独立行使检察权，不受行政机关、社会团体和个人的干涉。 </w:t>
      </w:r>
    </w:p>
    <w:p>
      <w:pPr>
        <w:widowControl/>
        <w:wordWrap w:val="0"/>
        <w:spacing w:line="456" w:lineRule="auto"/>
        <w:jc w:val="left"/>
        <w:rPr>
          <w:rFonts w:ascii="仿宋" w:hAnsi="仿宋" w:eastAsia="仿宋" w:cs="仿宋"/>
          <w:sz w:val="32"/>
          <w:szCs w:val="32"/>
        </w:rPr>
      </w:pPr>
      <w:r>
        <w:rPr>
          <w:rFonts w:hint="eastAsia" w:ascii="仿宋" w:hAnsi="仿宋" w:eastAsia="仿宋" w:cs="仿宋"/>
          <w:kern w:val="0"/>
          <w:sz w:val="32"/>
          <w:szCs w:val="32"/>
        </w:rPr>
        <w:t>　　2、我国设立最高人民检察院、地方各级人民检察院和军事检察院等专门人民检察院。地方各级人民检察院分为：省、自治区、直辖市人民检察院；省、自治区、直辖市人民检察院分院，自治州和省辖市人民检察院；县、市、自治县和市辖区人民检察院。 </w:t>
      </w:r>
    </w:p>
    <w:p>
      <w:pPr>
        <w:widowControl/>
        <w:wordWrap w:val="0"/>
        <w:spacing w:line="456" w:lineRule="auto"/>
        <w:jc w:val="left"/>
        <w:rPr>
          <w:rFonts w:ascii="仿宋" w:hAnsi="仿宋" w:eastAsia="仿宋" w:cs="仿宋"/>
          <w:sz w:val="32"/>
          <w:szCs w:val="32"/>
        </w:rPr>
      </w:pPr>
      <w:r>
        <w:rPr>
          <w:rFonts w:hint="eastAsia" w:ascii="仿宋" w:hAnsi="仿宋" w:eastAsia="仿宋" w:cs="仿宋"/>
          <w:kern w:val="0"/>
          <w:sz w:val="32"/>
          <w:szCs w:val="32"/>
        </w:rPr>
        <w:t>　　3、最高人民检察院是最高检察机关。最高人民检察院领导地方各级人民检察院和专门人民检察院的工作，上级人民检察院领导下级人民检察院的工作。 </w:t>
      </w:r>
    </w:p>
    <w:p>
      <w:pPr>
        <w:jc w:val="left"/>
        <w:rPr>
          <w:rFonts w:ascii="仿宋" w:hAnsi="仿宋" w:eastAsia="仿宋" w:cs="仿宋"/>
          <w:bCs/>
          <w:sz w:val="32"/>
          <w:szCs w:val="32"/>
        </w:rPr>
      </w:pPr>
      <w:r>
        <w:rPr>
          <w:rFonts w:hint="eastAsia" w:ascii="仿宋" w:hAnsi="仿宋" w:eastAsia="仿宋" w:cs="仿宋"/>
          <w:kern w:val="0"/>
          <w:sz w:val="32"/>
          <w:szCs w:val="32"/>
        </w:rPr>
        <w:t>　　4、最高人民检察院对全国人民代表大会和全国人民代表大会常务委员会负责。地方各级人民检察院对产生它的国家权力机关和上级人民检察院负责。 </w:t>
      </w:r>
      <w:r>
        <w:rPr>
          <w:rFonts w:hint="eastAsia" w:ascii="仿宋" w:hAnsi="仿宋" w:eastAsia="仿宋" w:cs="仿宋"/>
          <w:bCs/>
          <w:sz w:val="32"/>
          <w:szCs w:val="32"/>
        </w:rPr>
        <w:t xml:space="preserve">    </w:t>
      </w:r>
    </w:p>
    <w:p>
      <w:pPr>
        <w:numPr>
          <w:ilvl w:val="0"/>
          <w:numId w:val="1"/>
        </w:numPr>
        <w:jc w:val="left"/>
        <w:rPr>
          <w:rFonts w:ascii="仿宋" w:hAnsi="仿宋" w:eastAsia="仿宋" w:cs="仿宋"/>
          <w:bCs/>
          <w:sz w:val="32"/>
          <w:szCs w:val="32"/>
        </w:rPr>
      </w:pPr>
      <w:r>
        <w:rPr>
          <w:rFonts w:hint="eastAsia" w:ascii="仿宋" w:hAnsi="仿宋" w:eastAsia="仿宋" w:cs="仿宋"/>
          <w:bCs/>
          <w:sz w:val="32"/>
          <w:szCs w:val="32"/>
        </w:rPr>
        <w:t>单位机构设置情况</w:t>
      </w:r>
    </w:p>
    <w:p>
      <w:pPr>
        <w:ind w:firstLine="640" w:firstLineChars="200"/>
        <w:jc w:val="left"/>
        <w:rPr>
          <w:rFonts w:ascii="仿宋" w:hAnsi="仿宋" w:eastAsia="仿宋" w:cs="仿宋"/>
          <w:bCs/>
          <w:sz w:val="32"/>
          <w:szCs w:val="32"/>
        </w:rPr>
      </w:pPr>
      <w:r>
        <w:rPr>
          <w:rFonts w:hint="eastAsia" w:ascii="仿宋_GB2312" w:eastAsia="仿宋_GB2312"/>
          <w:sz w:val="32"/>
          <w:szCs w:val="32"/>
        </w:rPr>
        <w:t>内设机构5个和2个派出机构，分别是办公室、政治部、第一检察部、第二检察部、第三检察部；派驻雒容检察室、派驻阳和检察院。</w:t>
      </w:r>
    </w:p>
    <w:p>
      <w:pPr>
        <w:ind w:firstLine="640" w:firstLineChars="200"/>
        <w:jc w:val="left"/>
        <w:rPr>
          <w:rFonts w:ascii="仿宋" w:hAnsi="仿宋" w:eastAsia="仿宋" w:cs="仿宋"/>
          <w:bCs/>
          <w:sz w:val="32"/>
          <w:szCs w:val="32"/>
        </w:rPr>
      </w:pPr>
    </w:p>
    <w:p>
      <w:pPr>
        <w:ind w:firstLine="640" w:firstLineChars="200"/>
        <w:jc w:val="left"/>
        <w:rPr>
          <w:rFonts w:ascii="仿宋" w:hAnsi="仿宋" w:eastAsia="仿宋" w:cs="仿宋"/>
          <w:bCs/>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560" w:lineRule="exact"/>
        <w:jc w:val="left"/>
        <w:rPr>
          <w:rFonts w:ascii="仿宋" w:hAnsi="仿宋" w:eastAsia="仿宋" w:cs="黑体"/>
          <w:b/>
          <w:sz w:val="32"/>
          <w:szCs w:val="32"/>
        </w:rPr>
      </w:pPr>
      <w:r>
        <w:rPr>
          <w:rFonts w:hint="eastAsia" w:ascii="仿宋" w:hAnsi="仿宋" w:eastAsia="仿宋" w:cs="黑体"/>
          <w:b/>
          <w:sz w:val="32"/>
          <w:szCs w:val="32"/>
        </w:rPr>
        <w:t>第二部分：柳州市鱼峰区人民检察院2021年部门决算报表</w:t>
      </w:r>
    </w:p>
    <w:p>
      <w:pPr>
        <w:spacing w:line="560" w:lineRule="exact"/>
        <w:ind w:firstLine="640"/>
        <w:rPr>
          <w:rFonts w:ascii="仿宋" w:hAnsi="仿宋" w:eastAsia="仿宋" w:cs="仿宋"/>
          <w:b/>
          <w:sz w:val="32"/>
          <w:szCs w:val="32"/>
        </w:rPr>
      </w:pPr>
      <w:r>
        <w:rPr>
          <w:rFonts w:hint="eastAsia" w:ascii="仿宋" w:hAnsi="仿宋" w:eastAsia="仿宋" w:cs="仿宋"/>
          <w:sz w:val="32"/>
          <w:szCs w:val="32"/>
        </w:rPr>
        <w:t>(此部分另附表格，详见附件3：柳州市本级2021年部门决算公开表)</w:t>
      </w:r>
    </w:p>
    <w:p>
      <w:pPr>
        <w:spacing w:line="560" w:lineRule="exact"/>
        <w:ind w:firstLine="643" w:firstLineChars="200"/>
        <w:jc w:val="left"/>
        <w:rPr>
          <w:rFonts w:ascii="仿宋" w:hAnsi="仿宋" w:eastAsia="仿宋" w:cs="黑体"/>
          <w:b/>
          <w:sz w:val="32"/>
          <w:szCs w:val="32"/>
        </w:rPr>
      </w:pPr>
      <w:r>
        <w:rPr>
          <w:rFonts w:hint="eastAsia" w:ascii="仿宋" w:hAnsi="仿宋" w:eastAsia="仿宋" w:cs="黑体"/>
          <w:b/>
          <w:sz w:val="32"/>
          <w:szCs w:val="32"/>
        </w:rPr>
        <w:t>第三部分：柳州市鱼峰区人民检察院2021年度部门决算情况说明</w:t>
      </w:r>
    </w:p>
    <w:p>
      <w:pPr>
        <w:autoSpaceDE w:val="0"/>
        <w:autoSpaceDN w:val="0"/>
        <w:adjustRightInd w:val="0"/>
        <w:spacing w:line="560" w:lineRule="exact"/>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一、</w:t>
      </w:r>
      <w:r>
        <w:rPr>
          <w:rFonts w:hint="eastAsia" w:ascii="仿宋" w:hAnsi="仿宋" w:eastAsia="仿宋"/>
          <w:kern w:val="0"/>
          <w:sz w:val="32"/>
          <w:szCs w:val="32"/>
        </w:rPr>
        <w:t>2021</w:t>
      </w:r>
      <w:r>
        <w:rPr>
          <w:rFonts w:hint="eastAsia" w:ascii="仿宋" w:hAnsi="仿宋" w:eastAsia="仿宋" w:cs="仿宋_GB2312"/>
          <w:kern w:val="0"/>
          <w:sz w:val="32"/>
          <w:szCs w:val="32"/>
        </w:rPr>
        <w:t>年度收入支出决算总体情况</w:t>
      </w:r>
    </w:p>
    <w:p>
      <w:pPr>
        <w:autoSpaceDE w:val="0"/>
        <w:autoSpaceDN w:val="0"/>
        <w:adjustRightInd w:val="0"/>
        <w:spacing w:line="560" w:lineRule="exact"/>
        <w:ind w:firstLine="640" w:firstLineChars="200"/>
        <w:jc w:val="left"/>
        <w:rPr>
          <w:rFonts w:ascii="仿宋" w:hAnsi="仿宋" w:eastAsia="仿宋" w:cs="Times New Roman"/>
          <w:kern w:val="0"/>
          <w:sz w:val="32"/>
          <w:szCs w:val="32"/>
        </w:rPr>
      </w:pPr>
      <w:r>
        <w:rPr>
          <w:rFonts w:hint="eastAsia" w:ascii="仿宋" w:hAnsi="仿宋" w:eastAsia="仿宋"/>
          <w:kern w:val="0"/>
          <w:sz w:val="32"/>
          <w:szCs w:val="32"/>
        </w:rPr>
        <w:t>（一）本单位2021年度总收入</w:t>
      </w:r>
      <w:r>
        <w:rPr>
          <w:rFonts w:hint="eastAsia" w:ascii="仿宋" w:hAnsi="仿宋" w:eastAsia="仿宋"/>
          <w:kern w:val="0"/>
          <w:sz w:val="32"/>
          <w:szCs w:val="32"/>
          <w:lang w:val="en-US" w:eastAsia="zh-CN"/>
        </w:rPr>
        <w:t>1624.91</w:t>
      </w:r>
      <w:r>
        <w:rPr>
          <w:rFonts w:hint="eastAsia" w:ascii="仿宋" w:hAnsi="仿宋" w:eastAsia="仿宋"/>
          <w:kern w:val="0"/>
          <w:sz w:val="32"/>
          <w:szCs w:val="32"/>
        </w:rPr>
        <w:t>万元，其中本年收入1466.11万元, 较2020年度决算数减少</w:t>
      </w:r>
      <w:r>
        <w:rPr>
          <w:rFonts w:hint="eastAsia" w:ascii="仿宋" w:hAnsi="仿宋" w:eastAsia="仿宋"/>
          <w:kern w:val="0"/>
          <w:sz w:val="32"/>
          <w:szCs w:val="32"/>
          <w:lang w:val="en-US" w:eastAsia="zh-CN"/>
        </w:rPr>
        <w:t>384.76</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19.15</w:t>
      </w:r>
      <w:r>
        <w:rPr>
          <w:rFonts w:hint="eastAsia" w:ascii="仿宋" w:hAnsi="仿宋" w:eastAsia="仿宋"/>
          <w:kern w:val="0"/>
          <w:sz w:val="32"/>
          <w:szCs w:val="32"/>
        </w:rPr>
        <w:t xml:space="preserve"> %。收入具体情况如下：</w:t>
      </w:r>
    </w:p>
    <w:p>
      <w:pPr>
        <w:autoSpaceDE w:val="0"/>
        <w:autoSpaceDN w:val="0"/>
        <w:adjustRightInd w:val="0"/>
        <w:spacing w:line="560" w:lineRule="exact"/>
        <w:ind w:firstLine="627" w:firstLineChars="196"/>
        <w:jc w:val="left"/>
        <w:rPr>
          <w:rFonts w:ascii="仿宋" w:hAnsi="仿宋" w:eastAsia="仿宋"/>
          <w:kern w:val="0"/>
          <w:sz w:val="32"/>
          <w:szCs w:val="32"/>
        </w:rPr>
      </w:pPr>
      <w:r>
        <w:rPr>
          <w:rFonts w:hint="eastAsia" w:ascii="仿宋" w:hAnsi="仿宋" w:eastAsia="仿宋"/>
          <w:bCs/>
          <w:kern w:val="0"/>
          <w:sz w:val="32"/>
          <w:szCs w:val="32"/>
        </w:rPr>
        <w:t>1</w:t>
      </w:r>
      <w:r>
        <w:rPr>
          <w:rFonts w:hint="eastAsia" w:ascii="仿宋" w:hAnsi="仿宋" w:eastAsia="仿宋"/>
          <w:kern w:val="0"/>
          <w:sz w:val="32"/>
          <w:szCs w:val="32"/>
        </w:rPr>
        <w:t>.一般公共预算财政拨款收入1319.97万元，为财政当年拨付的资金。较2020年度决算数增加330.03万元，增长33.34%，主要原因是：人员经费的增加以及中央政法转移支付专项资金的增加。</w:t>
      </w:r>
    </w:p>
    <w:p>
      <w:pPr>
        <w:autoSpaceDE w:val="0"/>
        <w:autoSpaceDN w:val="0"/>
        <w:adjustRightInd w:val="0"/>
        <w:spacing w:line="560" w:lineRule="exact"/>
        <w:ind w:firstLine="627" w:firstLineChars="196"/>
        <w:jc w:val="left"/>
        <w:rPr>
          <w:rFonts w:ascii="仿宋" w:hAnsi="仿宋" w:eastAsia="仿宋"/>
          <w:kern w:val="0"/>
          <w:sz w:val="32"/>
          <w:szCs w:val="32"/>
        </w:rPr>
      </w:pPr>
      <w:r>
        <w:rPr>
          <w:rFonts w:hint="eastAsia" w:ascii="仿宋" w:hAnsi="仿宋" w:eastAsia="仿宋"/>
          <w:kern w:val="0"/>
          <w:sz w:val="32"/>
          <w:szCs w:val="32"/>
        </w:rPr>
        <w:t>2.政府性基金预算财政拨款收入0万元，为财政当年拨付的资金。较2020年度决算数增加（减少）0万元，增长（下降）0。</w:t>
      </w:r>
    </w:p>
    <w:p>
      <w:pPr>
        <w:autoSpaceDE w:val="0"/>
        <w:autoSpaceDN w:val="0"/>
        <w:adjustRightInd w:val="0"/>
        <w:spacing w:line="560" w:lineRule="exact"/>
        <w:ind w:firstLine="627" w:firstLineChars="196"/>
        <w:jc w:val="left"/>
        <w:rPr>
          <w:rFonts w:ascii="仿宋" w:hAnsi="仿宋" w:eastAsia="仿宋"/>
          <w:kern w:val="0"/>
          <w:sz w:val="32"/>
          <w:szCs w:val="32"/>
        </w:rPr>
      </w:pPr>
      <w:r>
        <w:rPr>
          <w:rFonts w:hint="eastAsia" w:ascii="仿宋" w:hAnsi="仿宋" w:eastAsia="仿宋"/>
          <w:bCs/>
          <w:kern w:val="0"/>
          <w:sz w:val="32"/>
          <w:szCs w:val="32"/>
        </w:rPr>
        <w:t>3</w:t>
      </w:r>
      <w:r>
        <w:rPr>
          <w:rFonts w:hint="eastAsia" w:ascii="仿宋" w:hAnsi="仿宋" w:eastAsia="仿宋"/>
          <w:kern w:val="0"/>
          <w:sz w:val="32"/>
          <w:szCs w:val="32"/>
        </w:rPr>
        <w:t>.国有资本经营预算财政拨款收入0万元，为财政当年拨付的资金。较2020年度决算数增加（减少）0万元，增长（下降）0。</w:t>
      </w:r>
    </w:p>
    <w:p>
      <w:pPr>
        <w:autoSpaceDE w:val="0"/>
        <w:autoSpaceDN w:val="0"/>
        <w:adjustRightInd w:val="0"/>
        <w:spacing w:line="560" w:lineRule="exact"/>
        <w:ind w:firstLine="627" w:firstLineChars="196"/>
        <w:jc w:val="left"/>
        <w:rPr>
          <w:rFonts w:ascii="仿宋" w:hAnsi="仿宋" w:eastAsia="仿宋"/>
          <w:kern w:val="0"/>
          <w:sz w:val="32"/>
          <w:szCs w:val="32"/>
        </w:rPr>
      </w:pPr>
      <w:r>
        <w:rPr>
          <w:rFonts w:hint="eastAsia" w:ascii="仿宋" w:hAnsi="仿宋" w:eastAsia="仿宋"/>
          <w:kern w:val="0"/>
          <w:sz w:val="32"/>
          <w:szCs w:val="32"/>
        </w:rPr>
        <w:t>4.事业收入0万元，为事业单位开展业务活动取得的收入。较2020年度决算数增加（减少）0万元，增长（下降）0。</w:t>
      </w:r>
    </w:p>
    <w:p>
      <w:pPr>
        <w:autoSpaceDE w:val="0"/>
        <w:autoSpaceDN w:val="0"/>
        <w:adjustRightInd w:val="0"/>
        <w:spacing w:line="560" w:lineRule="exact"/>
        <w:ind w:firstLine="627" w:firstLineChars="196"/>
        <w:jc w:val="left"/>
        <w:rPr>
          <w:rFonts w:ascii="仿宋" w:hAnsi="仿宋" w:eastAsia="仿宋"/>
          <w:kern w:val="0"/>
          <w:sz w:val="32"/>
          <w:szCs w:val="32"/>
        </w:rPr>
      </w:pPr>
      <w:r>
        <w:rPr>
          <w:rFonts w:hint="eastAsia" w:ascii="仿宋" w:hAnsi="仿宋" w:eastAsia="仿宋"/>
          <w:bCs/>
          <w:kern w:val="0"/>
          <w:sz w:val="32"/>
          <w:szCs w:val="32"/>
        </w:rPr>
        <w:t>5</w:t>
      </w:r>
      <w:r>
        <w:rPr>
          <w:rFonts w:hint="eastAsia" w:ascii="仿宋" w:hAnsi="仿宋" w:eastAsia="仿宋"/>
          <w:kern w:val="0"/>
          <w:sz w:val="32"/>
          <w:szCs w:val="32"/>
        </w:rPr>
        <w:t>.经营收入0万元，为事业单位在业务活动之外开展非独立核算经营活动取得的收入。较2020年度决算数增加（减少）0万元，增长（下降）0。</w:t>
      </w:r>
    </w:p>
    <w:p>
      <w:pPr>
        <w:autoSpaceDE w:val="0"/>
        <w:autoSpaceDN w:val="0"/>
        <w:adjustRightInd w:val="0"/>
        <w:spacing w:line="560" w:lineRule="exact"/>
        <w:ind w:firstLine="627" w:firstLineChars="196"/>
        <w:jc w:val="left"/>
        <w:rPr>
          <w:rFonts w:ascii="仿宋" w:hAnsi="仿宋" w:eastAsia="仿宋"/>
          <w:kern w:val="0"/>
          <w:sz w:val="32"/>
          <w:szCs w:val="32"/>
        </w:rPr>
      </w:pPr>
      <w:r>
        <w:rPr>
          <w:rFonts w:hint="eastAsia" w:ascii="仿宋" w:hAnsi="仿宋" w:eastAsia="仿宋"/>
          <w:bCs/>
          <w:kern w:val="0"/>
          <w:sz w:val="32"/>
          <w:szCs w:val="32"/>
        </w:rPr>
        <w:t>6</w:t>
      </w:r>
      <w:r>
        <w:rPr>
          <w:rFonts w:hint="eastAsia" w:ascii="仿宋" w:hAnsi="仿宋" w:eastAsia="仿宋"/>
          <w:kern w:val="0"/>
          <w:sz w:val="32"/>
          <w:szCs w:val="32"/>
        </w:rPr>
        <w:t>.其他收入146.13万元，为部门单位在“财政拨款收入”</w:t>
      </w:r>
    </w:p>
    <w:p>
      <w:pPr>
        <w:autoSpaceDE w:val="0"/>
        <w:autoSpaceDN w:val="0"/>
        <w:adjustRightInd w:val="0"/>
        <w:spacing w:line="560" w:lineRule="exact"/>
        <w:jc w:val="left"/>
        <w:rPr>
          <w:rFonts w:ascii="仿宋" w:hAnsi="仿宋" w:eastAsia="仿宋"/>
          <w:kern w:val="0"/>
          <w:sz w:val="32"/>
          <w:szCs w:val="32"/>
        </w:rPr>
      </w:pPr>
      <w:r>
        <w:rPr>
          <w:rFonts w:hint="eastAsia" w:ascii="仿宋" w:hAnsi="仿宋" w:eastAsia="仿宋"/>
          <w:kern w:val="0"/>
          <w:sz w:val="32"/>
          <w:szCs w:val="32"/>
        </w:rPr>
        <w:t>“事业收入”“经营收入”之外取得的收入。较2020年度决算数减少557万元，下降79.22 %，主要原因是：城区财政局减少拨款，以及其他专项经费的拨款。</w:t>
      </w:r>
    </w:p>
    <w:p>
      <w:pPr>
        <w:autoSpaceDE w:val="0"/>
        <w:autoSpaceDN w:val="0"/>
        <w:adjustRightInd w:val="0"/>
        <w:spacing w:line="560" w:lineRule="exact"/>
        <w:ind w:firstLine="627" w:firstLineChars="196"/>
        <w:jc w:val="left"/>
        <w:rPr>
          <w:rFonts w:ascii="仿宋" w:hAnsi="仿宋" w:eastAsia="仿宋"/>
          <w:kern w:val="0"/>
          <w:sz w:val="32"/>
          <w:szCs w:val="32"/>
        </w:rPr>
      </w:pPr>
      <w:r>
        <w:rPr>
          <w:rFonts w:hint="eastAsia" w:ascii="仿宋" w:hAnsi="仿宋" w:eastAsia="仿宋"/>
          <w:bCs/>
          <w:kern w:val="0"/>
          <w:sz w:val="32"/>
          <w:szCs w:val="32"/>
        </w:rPr>
        <w:t>7</w:t>
      </w:r>
      <w:r>
        <w:rPr>
          <w:rFonts w:hint="eastAsia" w:ascii="仿宋" w:hAnsi="仿宋" w:eastAsia="仿宋"/>
          <w:kern w:val="0"/>
          <w:sz w:val="32"/>
          <w:szCs w:val="32"/>
        </w:rPr>
        <w:t>.使用非财政拨款结余72.91万元，主要是所属事业单位在当年的“财政拨款收入”“事业收入”“经营收入”及“其他收入”不能保证其支出的情况下，使用以前年度积累的非财政拨款结余弥补本年度收支缺口的资金。较2020年度决算数增加72.91万元，增长100 %，主要原因是：增加其他专项经费的支出。</w:t>
      </w:r>
    </w:p>
    <w:p>
      <w:pPr>
        <w:autoSpaceDE w:val="0"/>
        <w:autoSpaceDN w:val="0"/>
        <w:adjustRightInd w:val="0"/>
        <w:spacing w:line="560" w:lineRule="exact"/>
        <w:ind w:firstLine="627" w:firstLineChars="196"/>
        <w:jc w:val="left"/>
        <w:rPr>
          <w:rFonts w:ascii="仿宋" w:hAnsi="仿宋" w:eastAsia="仿宋"/>
          <w:kern w:val="0"/>
          <w:sz w:val="32"/>
          <w:szCs w:val="32"/>
        </w:rPr>
      </w:pPr>
      <w:r>
        <w:rPr>
          <w:rFonts w:hint="eastAsia" w:ascii="仿宋" w:hAnsi="仿宋" w:eastAsia="仿宋"/>
          <w:bCs/>
          <w:kern w:val="0"/>
          <w:sz w:val="32"/>
          <w:szCs w:val="32"/>
        </w:rPr>
        <w:t>8</w:t>
      </w:r>
      <w:r>
        <w:rPr>
          <w:rFonts w:hint="eastAsia" w:ascii="仿宋" w:hAnsi="仿宋" w:eastAsia="仿宋"/>
          <w:kern w:val="0"/>
          <w:sz w:val="32"/>
          <w:szCs w:val="32"/>
        </w:rPr>
        <w:t>.上年结转和结余158.80万元，为以前年度支出预算因客观条件变化未执行完毕、结转到本年度按有关规定继续使用的资金。较2020年度决算数减少157.80万元，下降49.84 %，主要原因是加大了其他专项经费的支出。</w:t>
      </w:r>
    </w:p>
    <w:p>
      <w:pPr>
        <w:autoSpaceDE w:val="0"/>
        <w:autoSpaceDN w:val="0"/>
        <w:adjustRightInd w:val="0"/>
        <w:spacing w:line="560" w:lineRule="exact"/>
        <w:ind w:firstLine="627" w:firstLineChars="196"/>
        <w:jc w:val="left"/>
        <w:rPr>
          <w:rFonts w:ascii="仿宋" w:hAnsi="仿宋" w:eastAsia="仿宋"/>
          <w:kern w:val="0"/>
          <w:sz w:val="32"/>
          <w:szCs w:val="32"/>
        </w:rPr>
      </w:pPr>
      <w:r>
        <w:rPr>
          <w:rFonts w:hint="eastAsia" w:ascii="仿宋" w:hAnsi="仿宋" w:eastAsia="仿宋"/>
          <w:kern w:val="0"/>
          <w:sz w:val="32"/>
          <w:szCs w:val="32"/>
        </w:rPr>
        <w:t>（二）本单位2021年度总支出1539.02万元，其中本年支出1539.02万元, 较2020年度决算数减少154.05万元，下降9.10%。支出具体情况如下：</w:t>
      </w:r>
    </w:p>
    <w:p>
      <w:pPr>
        <w:autoSpaceDE w:val="0"/>
        <w:autoSpaceDN w:val="0"/>
        <w:adjustRightInd w:val="0"/>
        <w:spacing w:line="560" w:lineRule="exact"/>
        <w:ind w:firstLine="627" w:firstLineChars="196"/>
        <w:jc w:val="left"/>
        <w:rPr>
          <w:rFonts w:ascii="仿宋" w:hAnsi="仿宋" w:eastAsia="仿宋"/>
          <w:bCs/>
          <w:kern w:val="0"/>
          <w:sz w:val="32"/>
          <w:szCs w:val="32"/>
        </w:rPr>
      </w:pPr>
      <w:r>
        <w:rPr>
          <w:rFonts w:hint="eastAsia" w:ascii="仿宋" w:hAnsi="仿宋" w:eastAsia="仿宋"/>
          <w:bCs/>
          <w:kern w:val="0"/>
          <w:sz w:val="32"/>
          <w:szCs w:val="32"/>
        </w:rPr>
        <w:t>1.一般公共安全服务（检察行政运行2040401类）支出609.37万元：主要用于基本支出（人员经费以及公用经费），较2020年决算数增加159.62万元，增长35.49%。主要原因是人员经费的增加。</w:t>
      </w:r>
    </w:p>
    <w:p>
      <w:pPr>
        <w:autoSpaceDE w:val="0"/>
        <w:autoSpaceDN w:val="0"/>
        <w:adjustRightInd w:val="0"/>
        <w:spacing w:line="560" w:lineRule="exact"/>
        <w:ind w:firstLine="627" w:firstLineChars="196"/>
        <w:jc w:val="left"/>
        <w:rPr>
          <w:rFonts w:ascii="仿宋" w:hAnsi="仿宋" w:eastAsia="仿宋"/>
          <w:bCs/>
          <w:kern w:val="0"/>
          <w:sz w:val="32"/>
          <w:szCs w:val="32"/>
        </w:rPr>
      </w:pPr>
      <w:r>
        <w:rPr>
          <w:rFonts w:hint="eastAsia" w:ascii="仿宋" w:hAnsi="仿宋" w:eastAsia="仿宋"/>
          <w:bCs/>
          <w:kern w:val="0"/>
          <w:sz w:val="32"/>
          <w:szCs w:val="32"/>
        </w:rPr>
        <w:t>2.一般公共安全服务（检察一般行政管理事务2040402类）支出269.51万元：主要用于项目支出（聘用人员经费、物业管理费等），较2020年决算数减少了26.57万元，下降8.97%。主要原因是减少专项设置购置费。</w:t>
      </w:r>
    </w:p>
    <w:p>
      <w:pPr>
        <w:autoSpaceDE w:val="0"/>
        <w:autoSpaceDN w:val="0"/>
        <w:adjustRightInd w:val="0"/>
        <w:spacing w:line="560" w:lineRule="exact"/>
        <w:ind w:firstLine="627" w:firstLineChars="196"/>
        <w:jc w:val="left"/>
        <w:rPr>
          <w:rFonts w:ascii="仿宋" w:hAnsi="仿宋" w:eastAsia="仿宋"/>
          <w:kern w:val="0"/>
          <w:sz w:val="32"/>
          <w:szCs w:val="32"/>
        </w:rPr>
      </w:pPr>
      <w:r>
        <w:rPr>
          <w:rFonts w:hint="eastAsia" w:ascii="仿宋" w:hAnsi="仿宋" w:eastAsia="仿宋"/>
          <w:bCs/>
          <w:kern w:val="0"/>
          <w:sz w:val="32"/>
          <w:szCs w:val="32"/>
        </w:rPr>
        <w:t>3.</w:t>
      </w:r>
      <w:r>
        <w:rPr>
          <w:rFonts w:hint="eastAsia" w:ascii="仿宋" w:hAnsi="仿宋" w:eastAsia="仿宋"/>
          <w:kern w:val="0"/>
          <w:sz w:val="32"/>
          <w:szCs w:val="32"/>
        </w:rPr>
        <w:t>一般公共服务支出（检察监督2040410类）102.87万元：主要用于项目支出（专项设备购置费）。较2020年度决算数增加</w:t>
      </w:r>
      <w:r>
        <w:rPr>
          <w:rFonts w:hint="eastAsia" w:ascii="仿宋" w:hAnsi="仿宋" w:eastAsia="仿宋"/>
          <w:kern w:val="0"/>
          <w:sz w:val="32"/>
          <w:szCs w:val="32"/>
          <w:highlight w:val="none"/>
          <w:lang w:val="en-US" w:eastAsia="zh-CN"/>
        </w:rPr>
        <w:t>66.49</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182.76</w:t>
      </w:r>
      <w:r>
        <w:rPr>
          <w:rFonts w:hint="eastAsia" w:ascii="仿宋" w:hAnsi="仿宋" w:eastAsia="仿宋"/>
          <w:kern w:val="0"/>
          <w:sz w:val="32"/>
          <w:szCs w:val="32"/>
        </w:rPr>
        <w:t>%，主要原因是项目支出（专项设备购置费）。</w:t>
      </w:r>
    </w:p>
    <w:p>
      <w:pPr>
        <w:autoSpaceDE w:val="0"/>
        <w:autoSpaceDN w:val="0"/>
        <w:adjustRightInd w:val="0"/>
        <w:spacing w:line="560" w:lineRule="exact"/>
        <w:ind w:firstLine="627" w:firstLineChars="196"/>
        <w:jc w:val="left"/>
        <w:rPr>
          <w:rFonts w:ascii="仿宋" w:hAnsi="仿宋" w:eastAsia="仿宋"/>
          <w:kern w:val="0"/>
          <w:sz w:val="32"/>
          <w:szCs w:val="32"/>
        </w:rPr>
      </w:pPr>
      <w:r>
        <w:rPr>
          <w:rFonts w:hint="eastAsia" w:ascii="仿宋" w:hAnsi="仿宋" w:eastAsia="仿宋"/>
          <w:kern w:val="0"/>
          <w:sz w:val="32"/>
          <w:szCs w:val="32"/>
        </w:rPr>
        <w:t>4.一般公共服务支出（其他检察支出2040499类）110万元：主要用于中央政法转移支出专项办案费及装备费。较2020年度决算数增加110 万元，增长100%，主要原因是：将2040410类检察监督调整到2040499其他检察支出类。</w:t>
      </w:r>
    </w:p>
    <w:p>
      <w:pPr>
        <w:autoSpaceDE w:val="0"/>
        <w:autoSpaceDN w:val="0"/>
        <w:adjustRightInd w:val="0"/>
        <w:spacing w:line="560" w:lineRule="exact"/>
        <w:ind w:firstLine="627" w:firstLineChars="196"/>
        <w:jc w:val="left"/>
        <w:rPr>
          <w:rFonts w:ascii="仿宋" w:hAnsi="仿宋" w:eastAsia="仿宋"/>
          <w:kern w:val="0"/>
          <w:sz w:val="32"/>
          <w:szCs w:val="32"/>
        </w:rPr>
      </w:pPr>
      <w:r>
        <w:rPr>
          <w:rFonts w:hint="eastAsia" w:ascii="仿宋" w:hAnsi="仿宋" w:eastAsia="仿宋"/>
          <w:kern w:val="0"/>
          <w:sz w:val="32"/>
          <w:szCs w:val="32"/>
        </w:rPr>
        <w:t>5.社会保障和就业支出（行政单位离退休2080501类）31万元：主要用于离退休人员经费。较2020年度决算数增加22.3</w:t>
      </w:r>
      <w:r>
        <w:rPr>
          <w:rFonts w:hint="eastAsia" w:ascii="仿宋" w:hAnsi="仿宋" w:eastAsia="仿宋"/>
          <w:kern w:val="0"/>
          <w:sz w:val="32"/>
          <w:szCs w:val="32"/>
          <w:lang w:val="en-US" w:eastAsia="zh-CN"/>
        </w:rPr>
        <w:t>7</w:t>
      </w:r>
      <w:r>
        <w:rPr>
          <w:rFonts w:hint="eastAsia" w:ascii="仿宋" w:hAnsi="仿宋" w:eastAsia="仿宋"/>
          <w:kern w:val="0"/>
          <w:sz w:val="32"/>
          <w:szCs w:val="32"/>
        </w:rPr>
        <w:t>万元，增长259.</w:t>
      </w:r>
      <w:r>
        <w:rPr>
          <w:rFonts w:hint="eastAsia" w:ascii="仿宋" w:hAnsi="仿宋" w:eastAsia="仿宋"/>
          <w:kern w:val="0"/>
          <w:sz w:val="32"/>
          <w:szCs w:val="32"/>
          <w:lang w:val="en-US" w:eastAsia="zh-CN"/>
        </w:rPr>
        <w:t>21</w:t>
      </w:r>
      <w:r>
        <w:rPr>
          <w:rFonts w:hint="eastAsia" w:ascii="仿宋" w:hAnsi="仿宋" w:eastAsia="仿宋"/>
          <w:kern w:val="0"/>
          <w:sz w:val="32"/>
          <w:szCs w:val="32"/>
        </w:rPr>
        <w:t>%，主要原因是增加了抚恤金支出。</w:t>
      </w:r>
    </w:p>
    <w:p>
      <w:pPr>
        <w:autoSpaceDE w:val="0"/>
        <w:autoSpaceDN w:val="0"/>
        <w:adjustRightInd w:val="0"/>
        <w:spacing w:line="560" w:lineRule="exact"/>
        <w:ind w:firstLine="627" w:firstLineChars="196"/>
        <w:jc w:val="left"/>
        <w:rPr>
          <w:rFonts w:ascii="仿宋" w:hAnsi="仿宋" w:eastAsia="仿宋"/>
          <w:kern w:val="0"/>
          <w:sz w:val="32"/>
          <w:szCs w:val="32"/>
        </w:rPr>
      </w:pPr>
      <w:r>
        <w:rPr>
          <w:rFonts w:hint="eastAsia" w:ascii="仿宋" w:hAnsi="仿宋" w:eastAsia="仿宋"/>
          <w:kern w:val="0"/>
          <w:sz w:val="32"/>
          <w:szCs w:val="32"/>
        </w:rPr>
        <w:t>6.社会保障和就业支出（机关事业单位基本养老保险缴费支出2080505类）65.36万元：主要用于机关事业单位基本养老保险缴费。较2020年度决算数增加0.43万元，增长0.66%，主要原因是人员增资后的调整缴费基数。</w:t>
      </w:r>
    </w:p>
    <w:p>
      <w:pPr>
        <w:autoSpaceDE w:val="0"/>
        <w:autoSpaceDN w:val="0"/>
        <w:adjustRightInd w:val="0"/>
        <w:spacing w:line="560" w:lineRule="exact"/>
        <w:ind w:firstLine="627" w:firstLineChars="196"/>
        <w:jc w:val="left"/>
        <w:rPr>
          <w:rFonts w:ascii="仿宋" w:hAnsi="仿宋" w:eastAsia="仿宋"/>
          <w:kern w:val="0"/>
          <w:sz w:val="32"/>
          <w:szCs w:val="32"/>
        </w:rPr>
      </w:pPr>
      <w:r>
        <w:rPr>
          <w:rFonts w:hint="eastAsia" w:ascii="仿宋" w:hAnsi="仿宋" w:eastAsia="仿宋"/>
          <w:kern w:val="0"/>
          <w:sz w:val="32"/>
          <w:szCs w:val="32"/>
        </w:rPr>
        <w:t>7.社会保障和就业支出（机关事业单位职业年金缴费支出2080506类）32.68万元：主要用于机关事业单位职业年金缴费。较2020年度决算数增加</w:t>
      </w:r>
      <w:r>
        <w:rPr>
          <w:rFonts w:hint="eastAsia" w:ascii="仿宋" w:hAnsi="仿宋" w:eastAsia="仿宋"/>
          <w:kern w:val="0"/>
          <w:sz w:val="32"/>
          <w:szCs w:val="32"/>
          <w:lang w:val="en-US" w:eastAsia="zh-CN"/>
        </w:rPr>
        <w:t>0.21</w:t>
      </w:r>
      <w:r>
        <w:rPr>
          <w:rFonts w:hint="eastAsia" w:ascii="仿宋" w:hAnsi="仿宋" w:eastAsia="仿宋"/>
          <w:kern w:val="0"/>
          <w:sz w:val="32"/>
          <w:szCs w:val="32"/>
        </w:rPr>
        <w:t>万元，增长0.</w:t>
      </w:r>
      <w:r>
        <w:rPr>
          <w:rFonts w:hint="eastAsia" w:ascii="仿宋" w:hAnsi="仿宋" w:eastAsia="仿宋"/>
          <w:kern w:val="0"/>
          <w:sz w:val="32"/>
          <w:szCs w:val="32"/>
          <w:lang w:val="en-US" w:eastAsia="zh-CN"/>
        </w:rPr>
        <w:t>65</w:t>
      </w:r>
      <w:r>
        <w:rPr>
          <w:rFonts w:hint="eastAsia" w:ascii="仿宋" w:hAnsi="仿宋" w:eastAsia="仿宋"/>
          <w:kern w:val="0"/>
          <w:sz w:val="32"/>
          <w:szCs w:val="32"/>
        </w:rPr>
        <w:t>%，主要原因是人员增资后的调整缴费基数。</w:t>
      </w:r>
    </w:p>
    <w:p>
      <w:pPr>
        <w:autoSpaceDE w:val="0"/>
        <w:autoSpaceDN w:val="0"/>
        <w:adjustRightInd w:val="0"/>
        <w:spacing w:line="560" w:lineRule="exact"/>
        <w:ind w:firstLine="627" w:firstLineChars="196"/>
        <w:jc w:val="left"/>
        <w:rPr>
          <w:rFonts w:ascii="仿宋" w:hAnsi="仿宋" w:eastAsia="仿宋"/>
          <w:kern w:val="0"/>
          <w:sz w:val="32"/>
          <w:szCs w:val="32"/>
        </w:rPr>
      </w:pPr>
      <w:r>
        <w:rPr>
          <w:rFonts w:hint="eastAsia" w:ascii="仿宋" w:hAnsi="仿宋" w:eastAsia="仿宋"/>
          <w:kern w:val="0"/>
          <w:sz w:val="32"/>
          <w:szCs w:val="32"/>
        </w:rPr>
        <w:t>8.卫生健康支出（行政单位医疗支出2101101类）31.87万元：主要用于机关单位医疗保险缴费。较2020年度决算数增加1.43万元，增长4.69%，主要原因是人员增资后的调整缴费基数。</w:t>
      </w:r>
    </w:p>
    <w:p>
      <w:pPr>
        <w:autoSpaceDE w:val="0"/>
        <w:autoSpaceDN w:val="0"/>
        <w:adjustRightInd w:val="0"/>
        <w:spacing w:line="560" w:lineRule="exact"/>
        <w:ind w:firstLine="627" w:firstLineChars="196"/>
        <w:jc w:val="left"/>
        <w:rPr>
          <w:rFonts w:ascii="仿宋" w:hAnsi="仿宋" w:eastAsia="仿宋"/>
          <w:kern w:val="0"/>
          <w:sz w:val="32"/>
          <w:szCs w:val="32"/>
        </w:rPr>
      </w:pPr>
      <w:r>
        <w:rPr>
          <w:rFonts w:hint="eastAsia" w:ascii="仿宋" w:hAnsi="仿宋" w:eastAsia="仿宋"/>
          <w:kern w:val="0"/>
          <w:sz w:val="32"/>
          <w:szCs w:val="32"/>
        </w:rPr>
        <w:t>9.卫生健康支出（公务员医疗补助支出2101103类）18.28万元：主要用于机关单位公务员医疗补助。较2020年度决算数减少16.35万元，下降47.21%，主要原因是医疗保险年度调，只缴纳了2021年7-12月公务员医疗补助支出。</w:t>
      </w:r>
    </w:p>
    <w:p>
      <w:pPr>
        <w:autoSpaceDE w:val="0"/>
        <w:autoSpaceDN w:val="0"/>
        <w:adjustRightInd w:val="0"/>
        <w:spacing w:line="560" w:lineRule="exact"/>
        <w:ind w:firstLine="627" w:firstLineChars="196"/>
        <w:jc w:val="left"/>
        <w:rPr>
          <w:rFonts w:ascii="仿宋" w:hAnsi="仿宋" w:eastAsia="仿宋"/>
          <w:kern w:val="0"/>
          <w:sz w:val="32"/>
          <w:szCs w:val="32"/>
        </w:rPr>
      </w:pPr>
      <w:r>
        <w:rPr>
          <w:rFonts w:hint="eastAsia" w:ascii="仿宋" w:hAnsi="仿宋" w:eastAsia="仿宋"/>
          <w:kern w:val="0"/>
          <w:sz w:val="32"/>
          <w:szCs w:val="32"/>
        </w:rPr>
        <w:t>10.住房保险支出（住房改革公积金支出2210201类）49.02万元：主要用于在职人员住房公积金缴纳。较2020年度决算数增加12.38万元，增加33.79%，主要原因是人员增资调资后基数增加。</w:t>
      </w:r>
    </w:p>
    <w:p>
      <w:pPr>
        <w:autoSpaceDE w:val="0"/>
        <w:autoSpaceDN w:val="0"/>
        <w:adjustRightInd w:val="0"/>
        <w:spacing w:line="560" w:lineRule="exact"/>
        <w:ind w:firstLine="627" w:firstLineChars="196"/>
        <w:jc w:val="left"/>
        <w:rPr>
          <w:rFonts w:ascii="仿宋" w:hAnsi="仿宋" w:eastAsia="仿宋"/>
          <w:kern w:val="0"/>
          <w:sz w:val="32"/>
          <w:szCs w:val="32"/>
        </w:rPr>
      </w:pPr>
      <w:r>
        <w:rPr>
          <w:rFonts w:hint="eastAsia" w:ascii="仿宋" w:hAnsi="仿宋" w:eastAsia="仿宋"/>
          <w:kern w:val="0"/>
          <w:sz w:val="32"/>
          <w:szCs w:val="32"/>
        </w:rPr>
        <w:t>11.其他支出（其他支出2299901类）219.05万元：主要用于其他专项经费支出。较2020年度决算数减少484.08万元，下降68.85%，主要原因是：其他专项经费的减少。</w:t>
      </w:r>
    </w:p>
    <w:p>
      <w:pPr>
        <w:autoSpaceDE w:val="0"/>
        <w:autoSpaceDN w:val="0"/>
        <w:adjustRightInd w:val="0"/>
        <w:spacing w:line="560" w:lineRule="exact"/>
        <w:ind w:firstLine="627" w:firstLineChars="196"/>
        <w:jc w:val="left"/>
        <w:rPr>
          <w:rFonts w:ascii="仿宋" w:hAnsi="仿宋" w:eastAsia="仿宋"/>
          <w:kern w:val="0"/>
          <w:sz w:val="32"/>
          <w:szCs w:val="32"/>
        </w:rPr>
      </w:pPr>
      <w:r>
        <w:rPr>
          <w:rFonts w:hint="eastAsia" w:ascii="仿宋" w:hAnsi="仿宋" w:eastAsia="仿宋"/>
          <w:kern w:val="0"/>
          <w:sz w:val="32"/>
          <w:szCs w:val="32"/>
        </w:rPr>
        <w:t>12.结余分配0万元，为事业单位按规定提取的职工福利基金、事业基金和缴纳的所得税等。</w:t>
      </w:r>
    </w:p>
    <w:p>
      <w:pPr>
        <w:autoSpaceDE w:val="0"/>
        <w:autoSpaceDN w:val="0"/>
        <w:adjustRightInd w:val="0"/>
        <w:spacing w:line="560" w:lineRule="exact"/>
        <w:ind w:firstLine="627" w:firstLineChars="196"/>
        <w:jc w:val="left"/>
        <w:rPr>
          <w:rFonts w:ascii="仿宋" w:hAnsi="仿宋" w:eastAsia="仿宋"/>
          <w:kern w:val="0"/>
          <w:sz w:val="32"/>
          <w:szCs w:val="32"/>
        </w:rPr>
      </w:pPr>
      <w:r>
        <w:rPr>
          <w:rFonts w:hint="eastAsia" w:ascii="仿宋" w:hAnsi="仿宋" w:eastAsia="仿宋"/>
          <w:bCs/>
          <w:kern w:val="0"/>
          <w:sz w:val="32"/>
          <w:szCs w:val="32"/>
        </w:rPr>
        <w:t>5</w:t>
      </w:r>
      <w:r>
        <w:rPr>
          <w:rFonts w:hint="eastAsia" w:ascii="仿宋" w:hAnsi="仿宋" w:eastAsia="仿宋"/>
          <w:kern w:val="0"/>
          <w:sz w:val="32"/>
          <w:szCs w:val="32"/>
        </w:rPr>
        <w:t>.年末结转和结余85.88万元，为本年度或以前年度</w:t>
      </w:r>
    </w:p>
    <w:p>
      <w:pPr>
        <w:autoSpaceDE w:val="0"/>
        <w:autoSpaceDN w:val="0"/>
        <w:adjustRightInd w:val="0"/>
        <w:spacing w:line="560" w:lineRule="exact"/>
        <w:jc w:val="left"/>
        <w:rPr>
          <w:rFonts w:ascii="仿宋" w:hAnsi="仿宋" w:eastAsia="仿宋"/>
          <w:kern w:val="0"/>
          <w:sz w:val="32"/>
          <w:szCs w:val="32"/>
        </w:rPr>
      </w:pPr>
      <w:r>
        <w:rPr>
          <w:rFonts w:hint="eastAsia" w:ascii="仿宋" w:hAnsi="仿宋" w:eastAsia="仿宋"/>
          <w:kern w:val="0"/>
          <w:sz w:val="32"/>
          <w:szCs w:val="32"/>
        </w:rPr>
        <w:t>预算安排、因客观条件发生变化无法按原计划实施，需要延迟到以后年度按有关规定继续使用的资金。较2020年度决算数减少230.72万元，下降72.87%，主要原因是：加大上年及以前年度其他专项项目经费的支出。</w:t>
      </w:r>
    </w:p>
    <w:p>
      <w:pPr>
        <w:autoSpaceDE w:val="0"/>
        <w:autoSpaceDN w:val="0"/>
        <w:adjustRightInd w:val="0"/>
        <w:spacing w:line="560" w:lineRule="exact"/>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二、</w:t>
      </w:r>
      <w:r>
        <w:rPr>
          <w:rFonts w:hint="eastAsia" w:ascii="仿宋" w:hAnsi="仿宋" w:eastAsia="仿宋"/>
          <w:kern w:val="0"/>
          <w:sz w:val="32"/>
          <w:szCs w:val="32"/>
        </w:rPr>
        <w:t>2021</w:t>
      </w:r>
      <w:r>
        <w:rPr>
          <w:rFonts w:hint="eastAsia" w:ascii="仿宋" w:hAnsi="仿宋" w:eastAsia="仿宋" w:cs="仿宋_GB2312"/>
          <w:kern w:val="0"/>
          <w:sz w:val="32"/>
          <w:szCs w:val="32"/>
        </w:rPr>
        <w:t>年度</w:t>
      </w:r>
      <w:r>
        <w:rPr>
          <w:rFonts w:hint="eastAsia" w:ascii="仿宋" w:hAnsi="仿宋" w:eastAsia="仿宋"/>
          <w:sz w:val="32"/>
          <w:szCs w:val="32"/>
        </w:rPr>
        <w:t>一般</w:t>
      </w:r>
      <w:r>
        <w:rPr>
          <w:rFonts w:hint="eastAsia" w:ascii="仿宋" w:hAnsi="仿宋" w:eastAsia="仿宋" w:cs="仿宋_GB2312"/>
          <w:kern w:val="0"/>
          <w:sz w:val="32"/>
          <w:szCs w:val="32"/>
        </w:rPr>
        <w:t>公共预算财政拨款支出决算情况</w:t>
      </w:r>
    </w:p>
    <w:p>
      <w:pPr>
        <w:autoSpaceDE w:val="0"/>
        <w:autoSpaceDN w:val="0"/>
        <w:adjustRightInd w:val="0"/>
        <w:spacing w:line="560" w:lineRule="exact"/>
        <w:ind w:firstLine="640" w:firstLineChars="200"/>
        <w:jc w:val="left"/>
        <w:rPr>
          <w:rFonts w:ascii="仿宋" w:hAnsi="仿宋" w:eastAsia="仿宋" w:cs="Times New Roman"/>
          <w:kern w:val="0"/>
          <w:sz w:val="32"/>
          <w:szCs w:val="32"/>
        </w:rPr>
      </w:pPr>
      <w:r>
        <w:rPr>
          <w:rFonts w:hint="eastAsia" w:ascii="仿宋" w:hAnsi="仿宋" w:eastAsia="仿宋"/>
          <w:kern w:val="0"/>
          <w:sz w:val="32"/>
          <w:szCs w:val="32"/>
        </w:rPr>
        <w:t>本单位2021年度</w:t>
      </w:r>
      <w:r>
        <w:rPr>
          <w:rFonts w:hint="eastAsia" w:ascii="仿宋" w:hAnsi="仿宋" w:eastAsia="仿宋"/>
          <w:sz w:val="32"/>
          <w:szCs w:val="32"/>
        </w:rPr>
        <w:t>一般</w:t>
      </w:r>
      <w:r>
        <w:rPr>
          <w:rFonts w:hint="eastAsia" w:ascii="仿宋" w:hAnsi="仿宋" w:eastAsia="仿宋"/>
          <w:kern w:val="0"/>
          <w:sz w:val="32"/>
          <w:szCs w:val="32"/>
        </w:rPr>
        <w:t>公共预算财政拨款支出1319.97万元，较2020年度决算数</w:t>
      </w:r>
      <w:r>
        <w:rPr>
          <w:rFonts w:hint="eastAsia" w:ascii="仿宋" w:hAnsi="仿宋" w:eastAsia="仿宋"/>
          <w:kern w:val="0"/>
          <w:sz w:val="32"/>
          <w:szCs w:val="32"/>
          <w:lang w:eastAsia="zh-CN"/>
        </w:rPr>
        <w:t>增加</w:t>
      </w:r>
      <w:r>
        <w:rPr>
          <w:rFonts w:hint="eastAsia" w:ascii="仿宋" w:hAnsi="仿宋" w:eastAsia="仿宋"/>
          <w:kern w:val="0"/>
          <w:sz w:val="32"/>
          <w:szCs w:val="32"/>
        </w:rPr>
        <w:t>330.03万元，</w:t>
      </w:r>
      <w:r>
        <w:rPr>
          <w:rFonts w:hint="eastAsia" w:ascii="仿宋" w:hAnsi="仿宋" w:eastAsia="仿宋"/>
          <w:kern w:val="0"/>
          <w:sz w:val="32"/>
          <w:szCs w:val="32"/>
          <w:lang w:eastAsia="zh-CN"/>
        </w:rPr>
        <w:t>增加</w:t>
      </w:r>
      <w:r>
        <w:rPr>
          <w:rFonts w:hint="eastAsia" w:ascii="仿宋" w:hAnsi="仿宋" w:eastAsia="仿宋"/>
          <w:kern w:val="0"/>
          <w:sz w:val="32"/>
          <w:szCs w:val="32"/>
        </w:rPr>
        <w:t>33.34%。其中：基本支出837.59万元，项目支出482.38万元。</w:t>
      </w:r>
    </w:p>
    <w:p>
      <w:pPr>
        <w:autoSpaceDE w:val="0"/>
        <w:autoSpaceDN w:val="0"/>
        <w:adjustRightInd w:val="0"/>
        <w:spacing w:line="56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本单位2021年度</w:t>
      </w:r>
      <w:r>
        <w:rPr>
          <w:rFonts w:hint="eastAsia" w:ascii="仿宋" w:hAnsi="仿宋" w:eastAsia="仿宋"/>
          <w:sz w:val="32"/>
          <w:szCs w:val="32"/>
        </w:rPr>
        <w:t>一般</w:t>
      </w:r>
      <w:r>
        <w:rPr>
          <w:rFonts w:hint="eastAsia" w:ascii="仿宋" w:hAnsi="仿宋" w:eastAsia="仿宋"/>
          <w:kern w:val="0"/>
          <w:sz w:val="32"/>
          <w:szCs w:val="32"/>
        </w:rPr>
        <w:t>公共预算财政拨款支出年初预算为1026.96万元，支出决算为1319.97万元，完成年初预算的128.53%。其中：</w:t>
      </w:r>
    </w:p>
    <w:p>
      <w:pPr>
        <w:autoSpaceDE w:val="0"/>
        <w:autoSpaceDN w:val="0"/>
        <w:adjustRightInd w:val="0"/>
        <w:spacing w:line="560" w:lineRule="exact"/>
        <w:ind w:firstLine="627" w:firstLineChars="196"/>
        <w:jc w:val="left"/>
        <w:rPr>
          <w:rFonts w:ascii="仿宋" w:hAnsi="仿宋" w:eastAsia="仿宋"/>
          <w:kern w:val="0"/>
          <w:sz w:val="32"/>
          <w:szCs w:val="32"/>
        </w:rPr>
      </w:pPr>
      <w:r>
        <w:rPr>
          <w:rFonts w:hint="eastAsia" w:ascii="仿宋" w:hAnsi="仿宋" w:eastAsia="仿宋"/>
          <w:bCs/>
          <w:kern w:val="0"/>
          <w:sz w:val="32"/>
          <w:szCs w:val="32"/>
        </w:rPr>
        <w:t>（一）一般公共服务（204类）检察（04款）行政运行（01项）</w:t>
      </w:r>
      <w:r>
        <w:rPr>
          <w:rFonts w:hint="eastAsia" w:ascii="仿宋" w:hAnsi="仿宋" w:eastAsia="仿宋"/>
          <w:kern w:val="0"/>
          <w:sz w:val="32"/>
          <w:szCs w:val="32"/>
        </w:rPr>
        <w:t>。年初预算为535.91万元，支出决算为609.37万元，完成年初预算的1.14%。主要人员经费的追加，增人增资部分。</w:t>
      </w:r>
    </w:p>
    <w:p>
      <w:pPr>
        <w:autoSpaceDE w:val="0"/>
        <w:autoSpaceDN w:val="0"/>
        <w:adjustRightInd w:val="0"/>
        <w:spacing w:line="560" w:lineRule="exact"/>
        <w:ind w:firstLine="627" w:firstLineChars="196"/>
        <w:jc w:val="left"/>
        <w:rPr>
          <w:rFonts w:ascii="仿宋" w:hAnsi="仿宋" w:eastAsia="仿宋"/>
          <w:bCs/>
          <w:kern w:val="0"/>
          <w:sz w:val="32"/>
          <w:szCs w:val="32"/>
        </w:rPr>
      </w:pPr>
      <w:r>
        <w:rPr>
          <w:rFonts w:hint="eastAsia" w:ascii="仿宋" w:hAnsi="仿宋" w:eastAsia="仿宋"/>
          <w:bCs/>
          <w:kern w:val="0"/>
          <w:sz w:val="32"/>
          <w:szCs w:val="32"/>
        </w:rPr>
        <w:t>（二）一般公共服务（204类）检察（04款）一般行政管理事务（02项）。</w:t>
      </w:r>
      <w:r>
        <w:rPr>
          <w:rFonts w:hint="eastAsia" w:ascii="仿宋" w:hAnsi="仿宋" w:eastAsia="仿宋"/>
          <w:kern w:val="0"/>
          <w:sz w:val="32"/>
          <w:szCs w:val="32"/>
        </w:rPr>
        <w:t>年初预算为285.83万元，支出决算为269.51万元，完成年初预算的94.29%。主要原因：项目经费因支付时效未能完成支付。</w:t>
      </w:r>
    </w:p>
    <w:p>
      <w:pPr>
        <w:autoSpaceDE w:val="0"/>
        <w:autoSpaceDN w:val="0"/>
        <w:adjustRightInd w:val="0"/>
        <w:spacing w:line="560" w:lineRule="exact"/>
        <w:ind w:firstLine="627" w:firstLineChars="196"/>
        <w:jc w:val="left"/>
        <w:rPr>
          <w:rFonts w:ascii="仿宋" w:hAnsi="仿宋" w:eastAsia="仿宋"/>
          <w:kern w:val="0"/>
          <w:sz w:val="32"/>
          <w:szCs w:val="32"/>
        </w:rPr>
      </w:pPr>
      <w:r>
        <w:rPr>
          <w:rFonts w:hint="eastAsia" w:ascii="仿宋" w:hAnsi="仿宋" w:eastAsia="仿宋"/>
          <w:kern w:val="0"/>
          <w:sz w:val="32"/>
          <w:szCs w:val="32"/>
        </w:rPr>
        <w:t>（三）</w:t>
      </w:r>
      <w:r>
        <w:rPr>
          <w:rFonts w:hint="eastAsia" w:ascii="仿宋" w:hAnsi="仿宋" w:eastAsia="仿宋"/>
          <w:bCs/>
          <w:kern w:val="0"/>
          <w:sz w:val="32"/>
          <w:szCs w:val="32"/>
        </w:rPr>
        <w:t>一般公共服务（204类）检察（04款）检察监督（10项）。年初无预算，为年度追加预算，</w:t>
      </w:r>
      <w:r>
        <w:rPr>
          <w:rFonts w:hint="eastAsia" w:ascii="仿宋" w:hAnsi="仿宋" w:eastAsia="仿宋"/>
          <w:kern w:val="0"/>
          <w:sz w:val="32"/>
          <w:szCs w:val="32"/>
        </w:rPr>
        <w:t>支出决算为102.87万元，该项为专项办案经费。</w:t>
      </w:r>
    </w:p>
    <w:p>
      <w:pPr>
        <w:autoSpaceDE w:val="0"/>
        <w:autoSpaceDN w:val="0"/>
        <w:adjustRightInd w:val="0"/>
        <w:spacing w:line="560" w:lineRule="exact"/>
        <w:ind w:firstLine="627" w:firstLineChars="196"/>
        <w:jc w:val="left"/>
        <w:rPr>
          <w:rFonts w:ascii="仿宋" w:hAnsi="仿宋" w:eastAsia="仿宋"/>
          <w:kern w:val="0"/>
          <w:sz w:val="32"/>
          <w:szCs w:val="32"/>
        </w:rPr>
      </w:pPr>
      <w:r>
        <w:rPr>
          <w:rFonts w:hint="eastAsia" w:ascii="仿宋" w:hAnsi="仿宋" w:eastAsia="仿宋"/>
          <w:kern w:val="0"/>
          <w:sz w:val="32"/>
          <w:szCs w:val="32"/>
        </w:rPr>
        <w:t>（四）</w:t>
      </w:r>
      <w:r>
        <w:rPr>
          <w:rFonts w:hint="eastAsia" w:ascii="仿宋" w:hAnsi="仿宋" w:eastAsia="仿宋"/>
          <w:bCs/>
          <w:kern w:val="0"/>
          <w:sz w:val="32"/>
          <w:szCs w:val="32"/>
        </w:rPr>
        <w:t>一般公共服务（204类）检察（04款）其他检察支出（99项）。年初无预算，为年度追加预算，</w:t>
      </w:r>
      <w:r>
        <w:rPr>
          <w:rFonts w:hint="eastAsia" w:ascii="仿宋" w:hAnsi="仿宋" w:eastAsia="仿宋"/>
          <w:kern w:val="0"/>
          <w:sz w:val="32"/>
          <w:szCs w:val="32"/>
        </w:rPr>
        <w:t>支出决算为110万元，为中央政法转移支付专项经费。</w:t>
      </w:r>
    </w:p>
    <w:p>
      <w:pPr>
        <w:autoSpaceDE w:val="0"/>
        <w:autoSpaceDN w:val="0"/>
        <w:adjustRightInd w:val="0"/>
        <w:spacing w:line="56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（五）</w:t>
      </w:r>
      <w:r>
        <w:rPr>
          <w:rFonts w:hint="eastAsia" w:ascii="仿宋" w:hAnsi="仿宋" w:eastAsia="仿宋"/>
          <w:bCs/>
          <w:kern w:val="0"/>
          <w:sz w:val="32"/>
          <w:szCs w:val="32"/>
        </w:rPr>
        <w:t>社会保障和就业支出（208类）行政事业单位养老支出（05款）行政单位离退休（01项）。</w:t>
      </w:r>
      <w:r>
        <w:rPr>
          <w:rFonts w:hint="eastAsia" w:ascii="仿宋" w:hAnsi="仿宋" w:eastAsia="仿宋"/>
          <w:kern w:val="0"/>
          <w:sz w:val="32"/>
          <w:szCs w:val="32"/>
        </w:rPr>
        <w:t>年初预算为8.9</w:t>
      </w:r>
      <w:r>
        <w:rPr>
          <w:rFonts w:hint="eastAsia" w:ascii="仿宋" w:hAnsi="仿宋" w:eastAsia="仿宋"/>
          <w:kern w:val="0"/>
          <w:sz w:val="32"/>
          <w:szCs w:val="32"/>
          <w:lang w:val="en-US" w:eastAsia="zh-CN"/>
        </w:rPr>
        <w:t>8</w:t>
      </w:r>
      <w:r>
        <w:rPr>
          <w:rFonts w:hint="eastAsia" w:ascii="仿宋" w:hAnsi="仿宋" w:eastAsia="仿宋"/>
          <w:kern w:val="0"/>
          <w:sz w:val="32"/>
          <w:szCs w:val="32"/>
        </w:rPr>
        <w:t xml:space="preserve"> 万元，支出决算为31万元，完成年初预算的</w:t>
      </w:r>
      <w:r>
        <w:rPr>
          <w:rFonts w:hint="eastAsia" w:ascii="仿宋" w:hAnsi="仿宋" w:eastAsia="仿宋"/>
          <w:kern w:val="0"/>
          <w:sz w:val="32"/>
          <w:szCs w:val="32"/>
          <w:lang w:val="en-US" w:eastAsia="zh-CN"/>
        </w:rPr>
        <w:t>2.45</w:t>
      </w:r>
      <w:r>
        <w:rPr>
          <w:rFonts w:hint="eastAsia" w:ascii="仿宋" w:hAnsi="仿宋" w:eastAsia="仿宋"/>
          <w:kern w:val="0"/>
          <w:sz w:val="32"/>
          <w:szCs w:val="32"/>
        </w:rPr>
        <w:t xml:space="preserve"> %。本年度因减少一名退休人员，增加了抚恤金。</w:t>
      </w:r>
    </w:p>
    <w:p>
      <w:pPr>
        <w:autoSpaceDE w:val="0"/>
        <w:autoSpaceDN w:val="0"/>
        <w:adjustRightInd w:val="0"/>
        <w:spacing w:line="56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（六）</w:t>
      </w:r>
      <w:r>
        <w:rPr>
          <w:rFonts w:hint="eastAsia" w:ascii="仿宋" w:hAnsi="仿宋" w:eastAsia="仿宋"/>
          <w:bCs/>
          <w:kern w:val="0"/>
          <w:sz w:val="32"/>
          <w:szCs w:val="32"/>
        </w:rPr>
        <w:t>社会保障和就业支出（208类）行政事业单位养老支出（05款）机关事业单位基本养老保险缴费支出（05项）。</w:t>
      </w:r>
      <w:r>
        <w:rPr>
          <w:rFonts w:hint="eastAsia" w:ascii="仿宋" w:hAnsi="仿宋" w:eastAsia="仿宋"/>
          <w:kern w:val="0"/>
          <w:sz w:val="32"/>
          <w:szCs w:val="32"/>
        </w:rPr>
        <w:t>年初预算为65.36万元，支出决算为65.36万元，完成年初预算的100%。</w:t>
      </w:r>
    </w:p>
    <w:p>
      <w:pPr>
        <w:autoSpaceDE w:val="0"/>
        <w:autoSpaceDN w:val="0"/>
        <w:adjustRightInd w:val="0"/>
        <w:spacing w:line="56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（七）</w:t>
      </w:r>
      <w:r>
        <w:rPr>
          <w:rFonts w:hint="eastAsia" w:ascii="仿宋" w:hAnsi="仿宋" w:eastAsia="仿宋"/>
          <w:bCs/>
          <w:kern w:val="0"/>
          <w:sz w:val="32"/>
          <w:szCs w:val="32"/>
        </w:rPr>
        <w:t>社会保障和就业支出（208类）行政事业单位养老支出（05款）机关事业单位职业年金缴费支出（06项）。</w:t>
      </w:r>
      <w:r>
        <w:rPr>
          <w:rFonts w:hint="eastAsia" w:ascii="仿宋" w:hAnsi="仿宋" w:eastAsia="仿宋"/>
          <w:kern w:val="0"/>
          <w:sz w:val="32"/>
          <w:szCs w:val="32"/>
        </w:rPr>
        <w:t>年初预算为32.68万元，支出决算为32.68万元，完成年初预算的100%。</w:t>
      </w:r>
    </w:p>
    <w:p>
      <w:pPr>
        <w:autoSpaceDE w:val="0"/>
        <w:autoSpaceDN w:val="0"/>
        <w:adjustRightInd w:val="0"/>
        <w:spacing w:line="56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（八）</w:t>
      </w:r>
      <w:r>
        <w:rPr>
          <w:rFonts w:hint="eastAsia" w:ascii="仿宋" w:hAnsi="仿宋" w:eastAsia="仿宋"/>
          <w:bCs/>
          <w:kern w:val="0"/>
          <w:sz w:val="32"/>
          <w:szCs w:val="32"/>
        </w:rPr>
        <w:t>卫生健康支出（210类）行政事业单位医疗（11款）行政单位医疗（01项）。</w:t>
      </w:r>
      <w:r>
        <w:rPr>
          <w:rFonts w:hint="eastAsia" w:ascii="仿宋" w:hAnsi="仿宋" w:eastAsia="仿宋"/>
          <w:kern w:val="0"/>
          <w:sz w:val="32"/>
          <w:szCs w:val="32"/>
        </w:rPr>
        <w:t>年初预算为31.87万元，支出决算为31.87万元，完成年初预算的100%。</w:t>
      </w:r>
    </w:p>
    <w:p>
      <w:pPr>
        <w:autoSpaceDE w:val="0"/>
        <w:autoSpaceDN w:val="0"/>
        <w:adjustRightInd w:val="0"/>
        <w:spacing w:line="56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（九）</w:t>
      </w:r>
      <w:r>
        <w:rPr>
          <w:rFonts w:hint="eastAsia" w:ascii="仿宋" w:hAnsi="仿宋" w:eastAsia="仿宋"/>
          <w:bCs/>
          <w:kern w:val="0"/>
          <w:sz w:val="32"/>
          <w:szCs w:val="32"/>
        </w:rPr>
        <w:t>卫生健康支出（210类）行政事业单位医疗（11款）公务员医疗补助 （03项）。</w:t>
      </w:r>
      <w:r>
        <w:rPr>
          <w:rFonts w:hint="eastAsia" w:ascii="仿宋" w:hAnsi="仿宋" w:eastAsia="仿宋"/>
          <w:kern w:val="0"/>
          <w:sz w:val="32"/>
          <w:szCs w:val="32"/>
        </w:rPr>
        <w:t>年初预算为17.31万元，支出决算为18.28万元，完成年初预算的1.06%。主要原因：增人增资。</w:t>
      </w:r>
    </w:p>
    <w:p>
      <w:pPr>
        <w:autoSpaceDE w:val="0"/>
        <w:autoSpaceDN w:val="0"/>
        <w:adjustRightInd w:val="0"/>
        <w:spacing w:line="56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（十）</w:t>
      </w:r>
      <w:r>
        <w:rPr>
          <w:rFonts w:hint="eastAsia" w:ascii="仿宋" w:hAnsi="仿宋" w:eastAsia="仿宋"/>
          <w:bCs/>
          <w:kern w:val="0"/>
          <w:sz w:val="32"/>
          <w:szCs w:val="32"/>
        </w:rPr>
        <w:t>住房保障支出（221类）住房改革支出（02款）住房公积金 （01项）。</w:t>
      </w:r>
      <w:r>
        <w:rPr>
          <w:rFonts w:hint="eastAsia" w:ascii="仿宋" w:hAnsi="仿宋" w:eastAsia="仿宋"/>
          <w:kern w:val="0"/>
          <w:sz w:val="32"/>
          <w:szCs w:val="32"/>
        </w:rPr>
        <w:t>年初预算为49.02万元，支出决算为49.02万元，完成年初预算的100 %。</w:t>
      </w:r>
    </w:p>
    <w:p>
      <w:pPr>
        <w:autoSpaceDE w:val="0"/>
        <w:autoSpaceDN w:val="0"/>
        <w:adjustRightInd w:val="0"/>
        <w:spacing w:line="560" w:lineRule="exact"/>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三、2021年度一般公共预算财政拨款基本支出决算情况说明</w:t>
      </w:r>
    </w:p>
    <w:p>
      <w:pPr>
        <w:autoSpaceDE w:val="0"/>
        <w:autoSpaceDN w:val="0"/>
        <w:adjustRightInd w:val="0"/>
        <w:spacing w:line="560" w:lineRule="exact"/>
        <w:ind w:firstLine="640" w:firstLineChars="200"/>
        <w:jc w:val="left"/>
        <w:rPr>
          <w:rFonts w:ascii="仿宋" w:hAnsi="仿宋" w:eastAsia="仿宋" w:cs="Times New Roman"/>
          <w:kern w:val="0"/>
          <w:sz w:val="32"/>
          <w:szCs w:val="32"/>
        </w:rPr>
      </w:pPr>
      <w:r>
        <w:rPr>
          <w:rFonts w:hint="eastAsia" w:ascii="仿宋" w:hAnsi="仿宋" w:eastAsia="仿宋"/>
          <w:kern w:val="0"/>
          <w:sz w:val="32"/>
          <w:szCs w:val="32"/>
        </w:rPr>
        <w:t>本单位2021年度</w:t>
      </w:r>
      <w:r>
        <w:rPr>
          <w:rFonts w:hint="eastAsia" w:ascii="仿宋" w:hAnsi="仿宋" w:eastAsia="仿宋"/>
          <w:sz w:val="32"/>
          <w:szCs w:val="32"/>
        </w:rPr>
        <w:t>一般</w:t>
      </w:r>
      <w:r>
        <w:rPr>
          <w:rFonts w:hint="eastAsia" w:ascii="仿宋" w:hAnsi="仿宋" w:eastAsia="仿宋"/>
          <w:kern w:val="0"/>
          <w:sz w:val="32"/>
          <w:szCs w:val="32"/>
        </w:rPr>
        <w:t>公共预算财政拨款基本支出837.59万元，支出具体情况如下：</w:t>
      </w:r>
    </w:p>
    <w:p>
      <w:pPr>
        <w:numPr>
          <w:ilvl w:val="0"/>
          <w:numId w:val="2"/>
        </w:numPr>
        <w:autoSpaceDE w:val="0"/>
        <w:autoSpaceDN w:val="0"/>
        <w:adjustRightInd w:val="0"/>
        <w:spacing w:line="560" w:lineRule="exact"/>
        <w:ind w:firstLine="640" w:firstLineChars="200"/>
        <w:jc w:val="left"/>
        <w:rPr>
          <w:rFonts w:ascii="仿宋" w:hAnsi="仿宋" w:eastAsia="仿宋"/>
          <w:bCs/>
          <w:kern w:val="0"/>
          <w:sz w:val="32"/>
          <w:szCs w:val="32"/>
        </w:rPr>
      </w:pPr>
      <w:r>
        <w:rPr>
          <w:rFonts w:hint="eastAsia" w:ascii="仿宋" w:hAnsi="仿宋" w:eastAsia="仿宋"/>
          <w:bCs/>
          <w:kern w:val="0"/>
          <w:sz w:val="32"/>
          <w:szCs w:val="32"/>
        </w:rPr>
        <w:t>工资福利支出736.21万元，完成年初预算的91.41%。因支付时效，部分人员社保经费未能支付完成。</w:t>
      </w:r>
    </w:p>
    <w:p>
      <w:pPr>
        <w:numPr>
          <w:ilvl w:val="0"/>
          <w:numId w:val="2"/>
        </w:numPr>
        <w:autoSpaceDE w:val="0"/>
        <w:autoSpaceDN w:val="0"/>
        <w:adjustRightInd w:val="0"/>
        <w:spacing w:line="560" w:lineRule="exact"/>
        <w:ind w:firstLine="640" w:firstLineChars="200"/>
        <w:jc w:val="left"/>
        <w:rPr>
          <w:rFonts w:ascii="仿宋" w:hAnsi="仿宋" w:eastAsia="仿宋"/>
          <w:bCs/>
          <w:kern w:val="0"/>
          <w:sz w:val="32"/>
          <w:szCs w:val="32"/>
        </w:rPr>
      </w:pPr>
      <w:r>
        <w:rPr>
          <w:rFonts w:hint="eastAsia" w:ascii="仿宋" w:hAnsi="仿宋" w:eastAsia="仿宋"/>
          <w:bCs/>
          <w:kern w:val="0"/>
          <w:sz w:val="32"/>
          <w:szCs w:val="32"/>
        </w:rPr>
        <w:t>商品和服务支出74.27万元，完成年初预算的98.82 %。，按规定控制三公经费的支出，形成逐年递减。</w:t>
      </w:r>
    </w:p>
    <w:p>
      <w:pPr>
        <w:autoSpaceDE w:val="0"/>
        <w:autoSpaceDN w:val="0"/>
        <w:adjustRightInd w:val="0"/>
        <w:spacing w:line="560" w:lineRule="exact"/>
        <w:ind w:firstLine="640" w:firstLineChars="200"/>
        <w:jc w:val="left"/>
        <w:rPr>
          <w:rFonts w:ascii="仿宋" w:hAnsi="仿宋" w:eastAsia="仿宋" w:cs="仿宋_GB2312"/>
          <w:kern w:val="0"/>
          <w:sz w:val="32"/>
          <w:szCs w:val="32"/>
        </w:rPr>
      </w:pPr>
      <w:r>
        <w:rPr>
          <w:rFonts w:hint="eastAsia" w:ascii="仿宋" w:hAnsi="仿宋" w:eastAsia="仿宋"/>
          <w:bCs/>
          <w:kern w:val="0"/>
          <w:sz w:val="32"/>
          <w:szCs w:val="32"/>
        </w:rPr>
        <w:t xml:space="preserve"> </w:t>
      </w:r>
      <w:r>
        <w:rPr>
          <w:rFonts w:hint="eastAsia" w:ascii="仿宋" w:hAnsi="仿宋" w:eastAsia="仿宋"/>
          <w:kern w:val="0"/>
          <w:sz w:val="32"/>
          <w:szCs w:val="32"/>
        </w:rPr>
        <w:t>（三）对个人和家庭的补助支出27.12万元，完成年初预算的3.03%，主要是因为减少一名退休人员，增加该名退休人员的抚恤金。</w:t>
      </w:r>
    </w:p>
    <w:p>
      <w:pPr>
        <w:autoSpaceDE w:val="0"/>
        <w:autoSpaceDN w:val="0"/>
        <w:adjustRightInd w:val="0"/>
        <w:spacing w:line="560" w:lineRule="exact"/>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四、2021年度政府性基金支出决算情况</w:t>
      </w:r>
    </w:p>
    <w:p>
      <w:pPr>
        <w:autoSpaceDE w:val="0"/>
        <w:autoSpaceDN w:val="0"/>
        <w:adjustRightInd w:val="0"/>
        <w:spacing w:line="56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柳州市鱼峰人民检察院2021年度没有政府性基金收入，也没有政府性基金安排的支出，故无数据情况说明。</w:t>
      </w:r>
    </w:p>
    <w:p>
      <w:pPr>
        <w:autoSpaceDE w:val="0"/>
        <w:autoSpaceDN w:val="0"/>
        <w:adjustRightInd w:val="0"/>
        <w:spacing w:line="560" w:lineRule="exact"/>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五、2021年度国有资本经营预算支出决算情况</w:t>
      </w:r>
    </w:p>
    <w:p>
      <w:pPr>
        <w:autoSpaceDE w:val="0"/>
        <w:autoSpaceDN w:val="0"/>
        <w:adjustRightInd w:val="0"/>
        <w:spacing w:line="56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柳州市鱼峰人民检察院2021年度没有国有资本经营预算财政拨款收入，也没有国有资本经营预算财政拨款安排的支出，故无数据情况说明。</w:t>
      </w:r>
    </w:p>
    <w:p>
      <w:pPr>
        <w:autoSpaceDE w:val="0"/>
        <w:autoSpaceDN w:val="0"/>
        <w:adjustRightInd w:val="0"/>
        <w:spacing w:line="560" w:lineRule="exact"/>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六、</w:t>
      </w:r>
      <w:r>
        <w:rPr>
          <w:rFonts w:hint="eastAsia" w:ascii="仿宋" w:hAnsi="仿宋" w:eastAsia="仿宋"/>
          <w:sz w:val="32"/>
          <w:szCs w:val="32"/>
        </w:rPr>
        <w:t>一般</w:t>
      </w:r>
      <w:r>
        <w:rPr>
          <w:rFonts w:hint="eastAsia" w:ascii="仿宋" w:hAnsi="仿宋" w:eastAsia="仿宋" w:cs="仿宋_GB2312"/>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ascii="仿宋" w:hAnsi="仿宋" w:eastAsia="仿宋" w:cs="Times New Roman"/>
          <w:kern w:val="0"/>
          <w:sz w:val="32"/>
          <w:szCs w:val="32"/>
        </w:rPr>
      </w:pPr>
      <w:r>
        <w:rPr>
          <w:rFonts w:hint="eastAsia" w:ascii="仿宋" w:hAnsi="仿宋" w:eastAsia="仿宋"/>
          <w:kern w:val="0"/>
          <w:sz w:val="32"/>
          <w:szCs w:val="32"/>
        </w:rPr>
        <w:t>本单位2021年度</w:t>
      </w:r>
      <w:r>
        <w:rPr>
          <w:rFonts w:hint="eastAsia" w:ascii="仿宋" w:hAnsi="仿宋" w:eastAsia="仿宋"/>
          <w:sz w:val="32"/>
          <w:szCs w:val="32"/>
        </w:rPr>
        <w:t>一般</w:t>
      </w:r>
      <w:r>
        <w:rPr>
          <w:rFonts w:hint="eastAsia" w:ascii="仿宋" w:hAnsi="仿宋" w:eastAsia="仿宋"/>
          <w:kern w:val="0"/>
          <w:sz w:val="32"/>
          <w:szCs w:val="32"/>
        </w:rPr>
        <w:t>公共预算财政拨款安排的“三公”经费支出0.3万元，完成年初预算的0.18%，比上年减少17.66万元，主要原因是2020年新购办案业务用车。其中：因公出国（境）费支出决算0万元，公务用车购置及运行费支出决算0万元，公务接待费支出决算0.3万元。</w:t>
      </w:r>
    </w:p>
    <w:p>
      <w:pPr>
        <w:autoSpaceDE w:val="0"/>
        <w:autoSpaceDN w:val="0"/>
        <w:adjustRightInd w:val="0"/>
        <w:spacing w:line="56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具体情况如下：</w:t>
      </w:r>
    </w:p>
    <w:p>
      <w:pPr>
        <w:autoSpaceDE w:val="0"/>
        <w:autoSpaceDN w:val="0"/>
        <w:adjustRightInd w:val="0"/>
        <w:spacing w:line="56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（一）因公出国（境）费支出0万元，完成年初预算的0%，比上年增减（减少）0万元。全年使用财政拨款安排柳州市鱼峰区人民检察院</w:t>
      </w:r>
      <w:r>
        <w:rPr>
          <w:rFonts w:hint="eastAsia" w:ascii="仿宋" w:hAnsi="仿宋" w:eastAsia="仿宋"/>
          <w:bCs/>
          <w:color w:val="000000"/>
          <w:sz w:val="32"/>
          <w:szCs w:val="32"/>
        </w:rPr>
        <w:t>机关、0个所属单位出国团组0个，参加其他单位组织的出国团组0个，全年因公出国（境）团组共计0个，累计0人次（必须说明）。</w:t>
      </w:r>
    </w:p>
    <w:p>
      <w:pPr>
        <w:autoSpaceDE w:val="0"/>
        <w:autoSpaceDN w:val="0"/>
        <w:adjustRightInd w:val="0"/>
        <w:spacing w:line="56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（二）公务用车购置及运行费支出0万元。其中：</w:t>
      </w:r>
    </w:p>
    <w:p>
      <w:pPr>
        <w:autoSpaceDE w:val="0"/>
        <w:autoSpaceDN w:val="0"/>
        <w:adjustRightInd w:val="0"/>
        <w:spacing w:line="56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公务用车购置支出0万元，完成年初预算的0%，比上年增加（减少）0万元。购置了0辆公务用车。</w:t>
      </w:r>
    </w:p>
    <w:p>
      <w:pPr>
        <w:autoSpaceDE w:val="0"/>
        <w:autoSpaceDN w:val="0"/>
        <w:adjustRightInd w:val="0"/>
        <w:spacing w:line="56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公务用车运行支出0万元，完成年初预算的0 %，比上年增加（减少）2.7万元，原因是车辆由市院统一管理安排经费。</w:t>
      </w:r>
    </w:p>
    <w:p>
      <w:pPr>
        <w:autoSpaceDE w:val="0"/>
        <w:autoSpaceDN w:val="0"/>
        <w:adjustRightInd w:val="0"/>
        <w:spacing w:line="56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（三）公务接待费支出0.3万元，完成年初预算的0.18%， 比上年增加0.3万元，因工作安排，安排了一个接待任务。国内公务接待批次1次，人次1次，国（境）外公务接待批次 0次，人次0次。</w:t>
      </w:r>
    </w:p>
    <w:p>
      <w:pPr>
        <w:autoSpaceDE w:val="0"/>
        <w:autoSpaceDN w:val="0"/>
        <w:adjustRightInd w:val="0"/>
        <w:spacing w:line="560" w:lineRule="exact"/>
        <w:ind w:firstLine="627" w:firstLineChars="196"/>
        <w:jc w:val="left"/>
        <w:rPr>
          <w:rFonts w:ascii="仿宋" w:hAnsi="仿宋" w:eastAsia="仿宋" w:cs="仿宋_GB2312"/>
          <w:kern w:val="0"/>
          <w:sz w:val="32"/>
          <w:szCs w:val="32"/>
        </w:rPr>
      </w:pPr>
      <w:r>
        <w:rPr>
          <w:rFonts w:hint="eastAsia" w:ascii="仿宋" w:hAnsi="仿宋" w:eastAsia="仿宋" w:cs="仿宋_GB2312"/>
          <w:kern w:val="0"/>
          <w:sz w:val="32"/>
          <w:szCs w:val="32"/>
        </w:rPr>
        <w:t>七、其他重要事项情况说明</w:t>
      </w:r>
    </w:p>
    <w:p>
      <w:pPr>
        <w:autoSpaceDE w:val="0"/>
        <w:autoSpaceDN w:val="0"/>
        <w:adjustRightInd w:val="0"/>
        <w:spacing w:line="560" w:lineRule="exact"/>
        <w:ind w:firstLine="640" w:firstLineChars="200"/>
        <w:jc w:val="left"/>
        <w:rPr>
          <w:rFonts w:ascii="仿宋" w:hAnsi="仿宋" w:eastAsia="仿宋" w:cs="仿宋_GB2312"/>
          <w:kern w:val="0"/>
          <w:sz w:val="32"/>
          <w:szCs w:val="32"/>
        </w:rPr>
      </w:pPr>
      <w:r>
        <w:rPr>
          <w:rFonts w:ascii="仿宋" w:hAnsi="仿宋" w:eastAsia="仿宋" w:cs="仿宋_GB2312"/>
          <w:kern w:val="0"/>
          <w:sz w:val="32"/>
          <w:szCs w:val="32"/>
        </w:rPr>
        <w:t>（一）</w:t>
      </w:r>
      <w:r>
        <w:rPr>
          <w:rFonts w:ascii="仿宋" w:hAnsi="仿宋" w:eastAsia="仿宋"/>
          <w:sz w:val="32"/>
          <w:szCs w:val="32"/>
        </w:rPr>
        <w:t xml:space="preserve"> </w:t>
      </w:r>
      <w:r>
        <w:rPr>
          <w:rFonts w:ascii="仿宋" w:hAnsi="仿宋" w:eastAsia="仿宋" w:cs="仿宋_GB2312"/>
          <w:kern w:val="0"/>
          <w:sz w:val="32"/>
          <w:szCs w:val="32"/>
        </w:rPr>
        <w:t>机关运行经费支出情况说明。</w:t>
      </w:r>
    </w:p>
    <w:p>
      <w:pPr>
        <w:autoSpaceDE w:val="0"/>
        <w:autoSpaceDN w:val="0"/>
        <w:adjustRightInd w:val="0"/>
        <w:spacing w:line="560" w:lineRule="exact"/>
        <w:ind w:firstLine="640" w:firstLineChars="200"/>
        <w:jc w:val="left"/>
        <w:rPr>
          <w:rFonts w:ascii="仿宋" w:hAnsi="仿宋" w:eastAsia="仿宋" w:cs="Times New Roman"/>
          <w:kern w:val="0"/>
          <w:sz w:val="32"/>
          <w:szCs w:val="32"/>
        </w:rPr>
      </w:pPr>
      <w:r>
        <w:rPr>
          <w:rFonts w:hint="eastAsia" w:ascii="仿宋" w:hAnsi="仿宋" w:eastAsia="仿宋"/>
          <w:kern w:val="0"/>
          <w:sz w:val="32"/>
          <w:szCs w:val="32"/>
        </w:rPr>
        <w:t>本单位2021年度机关运行经费支出74.28万元（与部门决算中行政单位和参照公务员法管理事业单位一般公共预算财政拨款基本支出中公用经费之和保持一致），比年初预算数减少0.34万元，降低1.18%。主要原因是控制三公经费支出，比2020年减少34.19万元，降低68.48%。主要原因是：业务用车购置及运行经费减少17.96万元。</w:t>
      </w:r>
    </w:p>
    <w:p>
      <w:pPr>
        <w:autoSpaceDE w:val="0"/>
        <w:autoSpaceDN w:val="0"/>
        <w:adjustRightInd w:val="0"/>
        <w:spacing w:line="560" w:lineRule="exact"/>
        <w:ind w:firstLine="640" w:firstLineChars="200"/>
        <w:jc w:val="left"/>
        <w:rPr>
          <w:rFonts w:ascii="仿宋" w:hAnsi="仿宋" w:eastAsia="仿宋" w:cs="仿宋_GB2312"/>
          <w:kern w:val="0"/>
          <w:sz w:val="32"/>
          <w:szCs w:val="32"/>
        </w:rPr>
      </w:pPr>
      <w:r>
        <w:rPr>
          <w:rFonts w:ascii="仿宋" w:hAnsi="仿宋" w:eastAsia="仿宋" w:cs="仿宋_GB2312"/>
          <w:kern w:val="0"/>
          <w:sz w:val="32"/>
          <w:szCs w:val="32"/>
        </w:rPr>
        <w:t>（二）政府采购支出情况说明。</w:t>
      </w:r>
    </w:p>
    <w:p>
      <w:pPr>
        <w:autoSpaceDE w:val="0"/>
        <w:autoSpaceDN w:val="0"/>
        <w:adjustRightInd w:val="0"/>
        <w:spacing w:line="560" w:lineRule="exact"/>
        <w:ind w:firstLine="640" w:firstLineChars="200"/>
        <w:jc w:val="left"/>
        <w:rPr>
          <w:rFonts w:ascii="仿宋" w:hAnsi="仿宋" w:eastAsia="仿宋" w:cs="Times New Roman"/>
          <w:kern w:val="0"/>
          <w:sz w:val="32"/>
          <w:szCs w:val="32"/>
        </w:rPr>
      </w:pPr>
      <w:r>
        <w:rPr>
          <w:rFonts w:hint="eastAsia" w:ascii="仿宋" w:hAnsi="仿宋" w:eastAsia="仿宋"/>
          <w:kern w:val="0"/>
          <w:sz w:val="32"/>
          <w:szCs w:val="32"/>
        </w:rPr>
        <w:t>本单位2021年度无政府采购支出。</w:t>
      </w:r>
    </w:p>
    <w:p>
      <w:pPr>
        <w:autoSpaceDE w:val="0"/>
        <w:autoSpaceDN w:val="0"/>
        <w:adjustRightInd w:val="0"/>
        <w:spacing w:line="560" w:lineRule="exact"/>
        <w:ind w:firstLine="640" w:firstLineChars="200"/>
        <w:jc w:val="left"/>
        <w:rPr>
          <w:rFonts w:ascii="仿宋" w:hAnsi="仿宋" w:eastAsia="仿宋" w:cs="仿宋_GB2312"/>
          <w:kern w:val="0"/>
          <w:sz w:val="32"/>
          <w:szCs w:val="32"/>
        </w:rPr>
      </w:pPr>
      <w:r>
        <w:rPr>
          <w:rFonts w:ascii="仿宋" w:hAnsi="仿宋" w:eastAsia="仿宋" w:cs="仿宋_GB2312"/>
          <w:kern w:val="0"/>
          <w:sz w:val="32"/>
          <w:szCs w:val="32"/>
        </w:rPr>
        <w:t>（三）国有资产占用情况说明。</w:t>
      </w:r>
    </w:p>
    <w:p>
      <w:pPr>
        <w:autoSpaceDE w:val="0"/>
        <w:autoSpaceDN w:val="0"/>
        <w:adjustRightInd w:val="0"/>
        <w:spacing w:line="580" w:lineRule="exact"/>
        <w:ind w:firstLine="627" w:firstLineChars="196"/>
        <w:jc w:val="left"/>
        <w:rPr>
          <w:rFonts w:ascii="仿宋" w:hAnsi="仿宋" w:eastAsia="仿宋" w:cs="Times New Roman"/>
          <w:kern w:val="0"/>
          <w:sz w:val="32"/>
          <w:szCs w:val="32"/>
        </w:rPr>
      </w:pPr>
      <w:r>
        <w:rPr>
          <w:rFonts w:hint="eastAsia" w:ascii="仿宋" w:hAnsi="仿宋" w:eastAsia="仿宋"/>
          <w:kern w:val="0"/>
          <w:sz w:val="32"/>
          <w:szCs w:val="32"/>
        </w:rPr>
        <w:t>截至2021年12月31日，本单位共有车辆5辆，其中：公务用车3辆；其他用车1辆，其他用车主要是行政业务用车。</w:t>
      </w:r>
    </w:p>
    <w:p>
      <w:pPr>
        <w:autoSpaceDE w:val="0"/>
        <w:autoSpaceDN w:val="0"/>
        <w:adjustRightInd w:val="0"/>
        <w:spacing w:line="560" w:lineRule="exact"/>
        <w:ind w:firstLine="640" w:firstLineChars="200"/>
        <w:jc w:val="left"/>
        <w:rPr>
          <w:rFonts w:ascii="仿宋" w:hAnsi="仿宋" w:eastAsia="仿宋" w:cs="仿宋_GB2312"/>
          <w:kern w:val="0"/>
          <w:sz w:val="32"/>
          <w:szCs w:val="32"/>
        </w:rPr>
      </w:pPr>
      <w:r>
        <w:rPr>
          <w:rFonts w:ascii="仿宋" w:hAnsi="仿宋" w:eastAsia="仿宋" w:cs="仿宋_GB2312"/>
          <w:kern w:val="0"/>
          <w:sz w:val="32"/>
          <w:szCs w:val="32"/>
        </w:rPr>
        <w:t>（四）预算绩效管理工作开展情况。</w:t>
      </w:r>
    </w:p>
    <w:p>
      <w:pPr>
        <w:autoSpaceDE w:val="0"/>
        <w:autoSpaceDN w:val="0"/>
        <w:adjustRightInd w:val="0"/>
        <w:spacing w:line="560" w:lineRule="exact"/>
        <w:ind w:firstLine="640" w:firstLineChars="200"/>
        <w:jc w:val="left"/>
        <w:rPr>
          <w:rFonts w:ascii="仿宋" w:hAnsi="仿宋" w:eastAsia="仿宋" w:cs="Times New Roman"/>
          <w:kern w:val="0"/>
          <w:sz w:val="32"/>
          <w:szCs w:val="32"/>
        </w:rPr>
      </w:pPr>
      <w:r>
        <w:rPr>
          <w:rFonts w:hint="eastAsia" w:ascii="仿宋" w:hAnsi="仿宋" w:eastAsia="仿宋"/>
          <w:kern w:val="0"/>
          <w:sz w:val="32"/>
          <w:szCs w:val="32"/>
        </w:rPr>
        <w:t>1.绩效管理工作开展情况。</w:t>
      </w:r>
    </w:p>
    <w:p>
      <w:pPr>
        <w:autoSpaceDE w:val="0"/>
        <w:autoSpaceDN w:val="0"/>
        <w:adjustRightInd w:val="0"/>
        <w:spacing w:line="56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根据财政预算管理要求，我单位组织对2021年度一般公共预算项目支出全面开展绩效自评。共涉及资金192.53万元，占一般公共预算项目支出总额的37.28%。</w:t>
      </w:r>
    </w:p>
    <w:p>
      <w:pPr>
        <w:autoSpaceDE w:val="0"/>
        <w:autoSpaceDN w:val="0"/>
        <w:adjustRightInd w:val="0"/>
        <w:spacing w:line="56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共组织对“聘用编外人员经费”1 个项目进行了部门评价，涉及一般公共预算支出192.53万元，从评价情况来看，</w:t>
      </w:r>
      <w:r>
        <w:rPr>
          <w:rFonts w:hint="eastAsia" w:ascii="仿宋" w:hAnsi="仿宋" w:eastAsia="仿宋" w:cs="仿宋"/>
          <w:sz w:val="32"/>
          <w:szCs w:val="32"/>
        </w:rPr>
        <w:t>本年预算实施过程中严格按照有关经费管理规定执行，各项资金到位及时，工作进展顺利。保障全院聘用人员的经费支出</w:t>
      </w:r>
      <w:r>
        <w:rPr>
          <w:rFonts w:hint="eastAsia" w:ascii="仿宋" w:hAnsi="仿宋" w:eastAsia="仿宋"/>
          <w:kern w:val="0"/>
          <w:sz w:val="32"/>
          <w:szCs w:val="32"/>
        </w:rPr>
        <w:t>。</w:t>
      </w:r>
    </w:p>
    <w:p>
      <w:pPr>
        <w:autoSpaceDE w:val="0"/>
        <w:autoSpaceDN w:val="0"/>
        <w:adjustRightInd w:val="0"/>
        <w:spacing w:line="56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组织对柳州市鱼峰区人民检察院开展整体支出绩效评价试点，涉及一般公共预算支出1026.93万元。从评价情况来看，</w:t>
      </w:r>
      <w:r>
        <w:rPr>
          <w:rFonts w:hint="eastAsia" w:ascii="仿宋" w:hAnsi="仿宋" w:eastAsia="仿宋" w:cs="仿宋"/>
          <w:sz w:val="32"/>
          <w:szCs w:val="32"/>
        </w:rPr>
        <w:t>按照财政资金绩效管理相关要求，厉行节约，严格控制三公经费及会议培训等一般性支出，加强支出管理，不断的提高财政资金的使用效益。</w:t>
      </w:r>
    </w:p>
    <w:p>
      <w:pPr>
        <w:autoSpaceDE w:val="0"/>
        <w:autoSpaceDN w:val="0"/>
        <w:adjustRightInd w:val="0"/>
        <w:spacing w:line="56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2.单位决算中项目绩效自评结果。</w:t>
      </w:r>
    </w:p>
    <w:p>
      <w:pPr>
        <w:autoSpaceDE w:val="0"/>
        <w:autoSpaceDN w:val="0"/>
        <w:adjustRightInd w:val="0"/>
        <w:spacing w:line="56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我单位根据年初设定的绩效目标，“聘用编外人员经费” 项目自评得分为98 分。发现的主要问题及原因：</w:t>
      </w:r>
      <w:r>
        <w:rPr>
          <w:rFonts w:hint="eastAsia" w:ascii="仿宋" w:hAnsi="仿宋" w:eastAsia="仿宋" w:cs="仿宋"/>
          <w:sz w:val="32"/>
          <w:szCs w:val="32"/>
        </w:rPr>
        <w:t>在执行过程中欠缺统筹性</w:t>
      </w:r>
      <w:r>
        <w:rPr>
          <w:rFonts w:hint="eastAsia" w:ascii="仿宋" w:hAnsi="仿宋" w:eastAsia="仿宋"/>
          <w:kern w:val="0"/>
          <w:sz w:val="32"/>
          <w:szCs w:val="32"/>
        </w:rPr>
        <w:t>。在公开项目绩效自评结果的同时，需公开《项目支出绩效自评表》。</w:t>
      </w:r>
    </w:p>
    <w:p>
      <w:pPr>
        <w:spacing w:line="560" w:lineRule="exact"/>
        <w:ind w:firstLine="645"/>
        <w:rPr>
          <w:rFonts w:ascii="仿宋" w:hAnsi="仿宋" w:eastAsia="仿宋"/>
          <w:b/>
          <w:sz w:val="32"/>
          <w:szCs w:val="32"/>
        </w:rPr>
      </w:pPr>
      <w:r>
        <w:rPr>
          <w:rFonts w:hint="eastAsia" w:ascii="仿宋" w:hAnsi="仿宋" w:eastAsia="仿宋"/>
          <w:b/>
          <w:sz w:val="32"/>
          <w:szCs w:val="32"/>
        </w:rPr>
        <w:t>第四部：名词解释</w:t>
      </w:r>
    </w:p>
    <w:p>
      <w:pPr>
        <w:spacing w:line="560" w:lineRule="exact"/>
        <w:ind w:firstLine="640"/>
        <w:rPr>
          <w:rFonts w:ascii="仿宋" w:hAnsi="仿宋" w:eastAsia="仿宋"/>
          <w:sz w:val="32"/>
          <w:szCs w:val="32"/>
        </w:rPr>
      </w:pPr>
      <w:r>
        <w:rPr>
          <w:rFonts w:hint="eastAsia" w:ascii="仿宋" w:hAnsi="仿宋" w:eastAsia="仿宋"/>
          <w:sz w:val="32"/>
          <w:szCs w:val="32"/>
        </w:rPr>
        <w:t xml:space="preserve">一、财政拨款收入：指柳州市财政部门当年拨付的资金。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二、事业收入：指事业单位开展专业业务活动及辅助活动所取得的收入。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三、经营收入：指事业单位在专业业务活动及其辅助活动之外开展非独立核算经营活动取得的收入。</w:t>
      </w:r>
    </w:p>
    <w:p>
      <w:pPr>
        <w:spacing w:line="560" w:lineRule="exact"/>
        <w:ind w:firstLine="640"/>
        <w:rPr>
          <w:rFonts w:ascii="仿宋" w:hAnsi="仿宋" w:eastAsia="仿宋"/>
          <w:sz w:val="32"/>
          <w:szCs w:val="32"/>
        </w:rPr>
      </w:pPr>
      <w:r>
        <w:rPr>
          <w:rFonts w:hint="eastAsia" w:ascii="仿宋" w:hAnsi="仿宋" w:eastAsia="仿宋"/>
          <w:sz w:val="32"/>
          <w:szCs w:val="32"/>
        </w:rPr>
        <w:t>四、其他收入：指除上述“财政拨款收入”“事业收入”“经营收入”等以外的收入。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六、年初结转和结余：指以前年度尚未完成、结转到本年 按有关规定继续使用的资金。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七、结余分配：指事业单位按规定提取的职工福利基金、事业基金和缴纳的所得税，以及建设单位按规定应交回的基本建设竣工项目结余资金。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八、年末结转和结余：指本年度或以前年度预算安排、因客观条件发生变化无法按原计划实施，需要延迟到以后年度按有关规定继续使用的资金。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九、基本支出：指为保障机构正常运转、完成日常工作任务而发生的人员支出和公用支出。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十、项目支出：指在基本支出之外为完成特定行政任务和事业发展目标所发生的支出。 </w:t>
      </w:r>
    </w:p>
    <w:p>
      <w:pPr>
        <w:spacing w:line="560" w:lineRule="exact"/>
        <w:ind w:firstLine="640"/>
        <w:rPr>
          <w:rFonts w:ascii="仿宋" w:hAnsi="仿宋" w:eastAsia="仿宋"/>
          <w:sz w:val="32"/>
          <w:szCs w:val="32"/>
        </w:rPr>
      </w:pPr>
      <w:r>
        <w:rPr>
          <w:rFonts w:hint="eastAsia" w:ascii="仿宋" w:hAnsi="仿宋" w:eastAsia="仿宋"/>
          <w:sz w:val="32"/>
          <w:szCs w:val="32"/>
        </w:rPr>
        <w:t>十一、经营支出：指事业单位在专业业务活动及其辅助活动之外开展非独立核算经营活动发生的支出。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十二、“三公”经费：纳入柳州市财政预决算管理的“三公”经费，是指柳州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
    <w:p/>
    <w:p/>
    <w:p/>
    <w:p/>
    <w:p/>
    <w:p/>
    <w:p/>
    <w:p/>
    <w:p/>
    <w:p/>
    <w:p/>
    <w:p/>
    <w:p/>
    <w:p/>
    <w:p/>
    <w:p/>
    <w:p/>
    <w:p/>
    <w:p/>
    <w:p/>
    <w:p/>
    <w:p/>
    <w:p/>
    <w:p/>
    <w:p/>
    <w:p/>
    <w:p>
      <w:pPr>
        <w:rPr>
          <w:rFonts w:ascii="仿宋" w:hAnsi="仿宋" w:eastAsia="仿宋" w:cs="仿宋"/>
          <w:kern w:val="0"/>
          <w:sz w:val="32"/>
          <w:szCs w:val="32"/>
        </w:rPr>
        <w:sectPr>
          <w:pgSz w:w="11906" w:h="16838"/>
          <w:pgMar w:top="1440" w:right="1800" w:bottom="1440" w:left="1800" w:header="851" w:footer="992" w:gutter="0"/>
          <w:cols w:space="425" w:num="1"/>
          <w:docGrid w:type="lines" w:linePitch="312" w:charSpace="0"/>
        </w:sectPr>
      </w:pPr>
    </w:p>
    <w:p>
      <w:pPr>
        <w:rPr>
          <w:rFonts w:hint="eastAsia" w:ascii="仿宋" w:hAnsi="仿宋" w:eastAsia="仿宋" w:cs="仿宋"/>
          <w:kern w:val="0"/>
          <w:sz w:val="32"/>
          <w:szCs w:val="32"/>
        </w:rPr>
      </w:pPr>
      <w:r>
        <w:rPr>
          <w:rFonts w:hint="eastAsia" w:ascii="仿宋" w:hAnsi="仿宋" w:eastAsia="仿宋" w:cs="仿宋"/>
          <w:kern w:val="0"/>
          <w:sz w:val="32"/>
          <w:szCs w:val="32"/>
        </w:rPr>
        <w:t>附：2021年度市本级预算项目支出绩效自评表</w:t>
      </w:r>
    </w:p>
    <w:p>
      <w:pPr>
        <w:ind w:firstLine="12000" w:firstLineChars="3750"/>
        <w:rPr>
          <w:rFonts w:hint="eastAsia" w:ascii="仿宋" w:hAnsi="仿宋" w:eastAsia="仿宋" w:cs="仿宋"/>
          <w:kern w:val="0"/>
          <w:sz w:val="32"/>
          <w:szCs w:val="32"/>
        </w:rPr>
      </w:pPr>
      <w:r>
        <w:rPr>
          <w:rFonts w:hint="eastAsia" w:ascii="仿宋" w:hAnsi="仿宋" w:eastAsia="仿宋" w:cs="仿宋"/>
          <w:kern w:val="0"/>
          <w:sz w:val="32"/>
          <w:szCs w:val="32"/>
        </w:rPr>
        <w:t>单位：万元</w:t>
      </w:r>
    </w:p>
    <w:tbl>
      <w:tblPr>
        <w:tblStyle w:val="4"/>
        <w:tblW w:w="10605" w:type="dxa"/>
        <w:jc w:val="center"/>
        <w:tblLayout w:type="autofit"/>
        <w:tblCellMar>
          <w:top w:w="0" w:type="dxa"/>
          <w:left w:w="108" w:type="dxa"/>
          <w:bottom w:w="0" w:type="dxa"/>
          <w:right w:w="108" w:type="dxa"/>
        </w:tblCellMar>
      </w:tblPr>
      <w:tblGrid>
        <w:gridCol w:w="1337"/>
        <w:gridCol w:w="1834"/>
        <w:gridCol w:w="969"/>
        <w:gridCol w:w="3339"/>
        <w:gridCol w:w="1268"/>
        <w:gridCol w:w="1853"/>
        <w:gridCol w:w="650"/>
        <w:gridCol w:w="861"/>
        <w:gridCol w:w="625"/>
        <w:gridCol w:w="334"/>
        <w:gridCol w:w="1104"/>
      </w:tblGrid>
      <w:tr>
        <w:tblPrEx>
          <w:tblCellMar>
            <w:top w:w="0" w:type="dxa"/>
            <w:left w:w="108" w:type="dxa"/>
            <w:bottom w:w="0" w:type="dxa"/>
            <w:right w:w="108" w:type="dxa"/>
          </w:tblCellMar>
        </w:tblPrEx>
        <w:trPr>
          <w:trHeight w:val="300" w:hRule="atLeast"/>
          <w:jc w:val="center"/>
        </w:trPr>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项目名称</w:t>
            </w:r>
          </w:p>
        </w:tc>
        <w:tc>
          <w:tcPr>
            <w:tcW w:w="9450" w:type="dxa"/>
            <w:gridSpan w:val="10"/>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聘用编外人员经费</w:t>
            </w:r>
          </w:p>
        </w:tc>
      </w:tr>
      <w:tr>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主管部门</w:t>
            </w:r>
          </w:p>
        </w:tc>
        <w:tc>
          <w:tcPr>
            <w:tcW w:w="0" w:type="auto"/>
            <w:gridSpan w:val="3"/>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柳州市人民检察院</w:t>
            </w:r>
          </w:p>
        </w:tc>
        <w:tc>
          <w:tcPr>
            <w:tcW w:w="0" w:type="auto"/>
            <w:gridSpan w:val="7"/>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项目实施单位:柳州市鱼峰区人民检察院</w:t>
            </w:r>
          </w:p>
        </w:tc>
      </w:tr>
      <w:tr>
        <w:tblPrEx>
          <w:tblCellMar>
            <w:top w:w="0" w:type="dxa"/>
            <w:left w:w="108" w:type="dxa"/>
            <w:bottom w:w="0" w:type="dxa"/>
            <w:right w:w="108" w:type="dxa"/>
          </w:tblCellMar>
        </w:tblPrEx>
        <w:trPr>
          <w:trHeight w:val="312" w:hRule="atLeast"/>
          <w:jc w:val="center"/>
        </w:trPr>
        <w:tc>
          <w:tcPr>
            <w:tcW w:w="1155"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sz w:val="18"/>
                <w:szCs w:val="18"/>
              </w:rPr>
            </w:pPr>
            <w:r>
              <w:rPr>
                <w:rFonts w:hint="eastAsia" w:ascii="宋体" w:hAnsi="宋体"/>
                <w:color w:val="000000"/>
                <w:kern w:val="0"/>
                <w:sz w:val="18"/>
                <w:szCs w:val="18"/>
              </w:rPr>
              <w:t>项目资金                    （万元）</w:t>
            </w:r>
          </w:p>
        </w:tc>
        <w:tc>
          <w:tcPr>
            <w:tcW w:w="0" w:type="auto"/>
            <w:vMerge w:val="restart"/>
            <w:tcBorders>
              <w:top w:val="nil"/>
              <w:left w:val="nil"/>
              <w:bottom w:val="single" w:color="000000" w:sz="4" w:space="0"/>
              <w:right w:val="single" w:color="000000" w:sz="4" w:space="0"/>
            </w:tcBorders>
            <w:noWrap/>
            <w:vAlign w:val="center"/>
          </w:tcPr>
          <w:p>
            <w:pPr>
              <w:rPr>
                <w:rFonts w:ascii="宋体" w:hAnsi="宋体" w:eastAsia="宋体"/>
                <w:color w:val="000000"/>
                <w:sz w:val="18"/>
                <w:szCs w:val="18"/>
              </w:rPr>
            </w:pPr>
          </w:p>
        </w:tc>
        <w:tc>
          <w:tcPr>
            <w:tcW w:w="1515" w:type="dxa"/>
            <w:gridSpan w:val="2"/>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18"/>
                <w:szCs w:val="18"/>
              </w:rPr>
            </w:pPr>
            <w:r>
              <w:rPr>
                <w:rFonts w:hint="eastAsia" w:ascii="宋体" w:hAnsi="宋体"/>
                <w:color w:val="000000"/>
                <w:kern w:val="0"/>
                <w:sz w:val="18"/>
                <w:szCs w:val="18"/>
              </w:rPr>
              <w:t>调整预算数（A）</w:t>
            </w:r>
          </w:p>
        </w:tc>
        <w:tc>
          <w:tcPr>
            <w:tcW w:w="1530"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18"/>
                <w:szCs w:val="18"/>
              </w:rPr>
            </w:pPr>
            <w:r>
              <w:rPr>
                <w:rFonts w:hint="eastAsia" w:ascii="宋体" w:hAnsi="宋体"/>
                <w:color w:val="000000"/>
                <w:kern w:val="0"/>
                <w:sz w:val="18"/>
                <w:szCs w:val="18"/>
              </w:rPr>
              <w:t>全年执行数（B）</w:t>
            </w:r>
          </w:p>
        </w:tc>
        <w:tc>
          <w:tcPr>
            <w:tcW w:w="1005"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18"/>
                <w:szCs w:val="18"/>
              </w:rPr>
            </w:pPr>
            <w:r>
              <w:rPr>
                <w:rFonts w:hint="eastAsia" w:ascii="宋体" w:hAnsi="宋体"/>
                <w:color w:val="000000"/>
                <w:kern w:val="0"/>
                <w:sz w:val="18"/>
                <w:szCs w:val="18"/>
              </w:rPr>
              <w:t>分值 (10分)</w:t>
            </w:r>
          </w:p>
        </w:tc>
        <w:tc>
          <w:tcPr>
            <w:tcW w:w="1335" w:type="dxa"/>
            <w:gridSpan w:val="2"/>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18"/>
                <w:szCs w:val="18"/>
              </w:rPr>
            </w:pPr>
            <w:r>
              <w:rPr>
                <w:rFonts w:hint="eastAsia" w:ascii="宋体" w:hAnsi="宋体"/>
                <w:color w:val="000000"/>
                <w:kern w:val="0"/>
                <w:sz w:val="18"/>
                <w:szCs w:val="18"/>
              </w:rPr>
              <w:t>预算资金执行率（B/A)</w:t>
            </w:r>
          </w:p>
        </w:tc>
        <w:tc>
          <w:tcPr>
            <w:tcW w:w="600"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18"/>
                <w:szCs w:val="18"/>
              </w:rPr>
            </w:pPr>
            <w:r>
              <w:rPr>
                <w:rFonts w:hint="eastAsia" w:ascii="宋体" w:hAnsi="宋体"/>
                <w:color w:val="000000"/>
                <w:kern w:val="0"/>
                <w:sz w:val="18"/>
                <w:szCs w:val="18"/>
              </w:rPr>
              <w:t>得分</w:t>
            </w:r>
          </w:p>
        </w:tc>
        <w:tc>
          <w:tcPr>
            <w:tcW w:w="1425" w:type="dxa"/>
            <w:gridSpan w:val="2"/>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18"/>
                <w:szCs w:val="18"/>
              </w:rPr>
            </w:pPr>
            <w:r>
              <w:rPr>
                <w:rFonts w:hint="eastAsia" w:ascii="宋体" w:hAnsi="宋体"/>
                <w:color w:val="000000"/>
                <w:kern w:val="0"/>
                <w:sz w:val="18"/>
                <w:szCs w:val="18"/>
              </w:rPr>
              <w:t>得分计算方法</w:t>
            </w:r>
          </w:p>
        </w:tc>
      </w:tr>
      <w:tr>
        <w:tblPrEx>
          <w:tblCellMar>
            <w:top w:w="0" w:type="dxa"/>
            <w:left w:w="108" w:type="dxa"/>
            <w:bottom w:w="0" w:type="dxa"/>
            <w:right w:w="108" w:type="dxa"/>
          </w:tblCellMar>
        </w:tblPrEx>
        <w:trPr>
          <w:trHeight w:val="312"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0" w:type="auto"/>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0" w:type="auto"/>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0" w:type="auto"/>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olor w:val="000000"/>
                <w:sz w:val="18"/>
                <w:szCs w:val="18"/>
              </w:rPr>
            </w:pPr>
          </w:p>
        </w:tc>
      </w:tr>
      <w:tr>
        <w:tblPrEx>
          <w:tblCellMar>
            <w:top w:w="0" w:type="dxa"/>
            <w:left w:w="108" w:type="dxa"/>
            <w:bottom w:w="0" w:type="dxa"/>
            <w:right w:w="108" w:type="dxa"/>
          </w:tblCellMar>
        </w:tblPrEx>
        <w:trPr>
          <w:trHeight w:val="379"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0" w:type="auto"/>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宋体" w:hAnsi="宋体" w:eastAsia="宋体"/>
                <w:color w:val="000000"/>
                <w:sz w:val="18"/>
                <w:szCs w:val="18"/>
              </w:rPr>
            </w:pPr>
            <w:r>
              <w:rPr>
                <w:rFonts w:hint="eastAsia" w:ascii="宋体" w:hAnsi="宋体"/>
                <w:color w:val="000000"/>
                <w:kern w:val="0"/>
                <w:sz w:val="18"/>
                <w:szCs w:val="18"/>
              </w:rPr>
              <w:t>年度资金总额</w:t>
            </w:r>
          </w:p>
        </w:tc>
        <w:tc>
          <w:tcPr>
            <w:tcW w:w="0" w:type="auto"/>
            <w:gridSpan w:val="2"/>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192.53</w:t>
            </w:r>
          </w:p>
        </w:tc>
        <w:tc>
          <w:tcPr>
            <w:tcW w:w="0" w:type="auto"/>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192.53</w:t>
            </w:r>
          </w:p>
        </w:tc>
        <w:tc>
          <w:tcPr>
            <w:tcW w:w="0" w:type="auto"/>
            <w:vMerge w:val="restart"/>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18"/>
                <w:szCs w:val="18"/>
              </w:rPr>
            </w:pPr>
            <w:r>
              <w:rPr>
                <w:rFonts w:hint="eastAsia" w:ascii="宋体" w:hAnsi="宋体"/>
                <w:color w:val="000000"/>
                <w:kern w:val="0"/>
                <w:sz w:val="18"/>
                <w:szCs w:val="18"/>
              </w:rPr>
              <w:t>10</w:t>
            </w:r>
          </w:p>
        </w:tc>
        <w:tc>
          <w:tcPr>
            <w:tcW w:w="0" w:type="auto"/>
            <w:gridSpan w:val="2"/>
            <w:vMerge w:val="restart"/>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18"/>
                <w:szCs w:val="18"/>
              </w:rPr>
            </w:pPr>
            <w:r>
              <w:rPr>
                <w:rFonts w:hint="eastAsia" w:ascii="宋体" w:hAnsi="宋体"/>
                <w:color w:val="000000"/>
                <w:kern w:val="0"/>
                <w:sz w:val="18"/>
                <w:szCs w:val="18"/>
              </w:rPr>
              <w:t>1</w:t>
            </w:r>
          </w:p>
        </w:tc>
        <w:tc>
          <w:tcPr>
            <w:tcW w:w="600"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18"/>
                <w:szCs w:val="18"/>
              </w:rPr>
            </w:pPr>
            <w:r>
              <w:rPr>
                <w:rFonts w:hint="eastAsia" w:ascii="宋体" w:hAnsi="宋体"/>
                <w:color w:val="000000"/>
                <w:kern w:val="0"/>
                <w:sz w:val="18"/>
                <w:szCs w:val="18"/>
              </w:rPr>
              <w:t>10</w:t>
            </w:r>
          </w:p>
        </w:tc>
        <w:tc>
          <w:tcPr>
            <w:tcW w:w="1425" w:type="dxa"/>
            <w:gridSpan w:val="2"/>
            <w:vMerge w:val="restart"/>
            <w:tcBorders>
              <w:top w:val="nil"/>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执行率×该指标分值，最高不得超过分值上限。</w:t>
            </w:r>
          </w:p>
        </w:tc>
      </w:tr>
      <w:tr>
        <w:tblPrEx>
          <w:tblCellMar>
            <w:top w:w="0" w:type="dxa"/>
            <w:left w:w="108" w:type="dxa"/>
            <w:bottom w:w="0" w:type="dxa"/>
            <w:right w:w="108" w:type="dxa"/>
          </w:tblCellMar>
        </w:tblPrEx>
        <w:trPr>
          <w:trHeight w:val="30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0" w:type="auto"/>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宋体" w:hAnsi="宋体" w:eastAsia="宋体"/>
                <w:color w:val="000000"/>
                <w:sz w:val="18"/>
                <w:szCs w:val="18"/>
              </w:rPr>
            </w:pPr>
            <w:r>
              <w:rPr>
                <w:rFonts w:hint="eastAsia" w:ascii="宋体" w:hAnsi="宋体"/>
                <w:color w:val="000000"/>
                <w:kern w:val="0"/>
                <w:sz w:val="18"/>
                <w:szCs w:val="18"/>
              </w:rPr>
              <w:t>其中：一般公共预算</w:t>
            </w:r>
          </w:p>
        </w:tc>
        <w:tc>
          <w:tcPr>
            <w:tcW w:w="0" w:type="auto"/>
            <w:gridSpan w:val="2"/>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192.53</w:t>
            </w:r>
          </w:p>
        </w:tc>
        <w:tc>
          <w:tcPr>
            <w:tcW w:w="0" w:type="auto"/>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192.53</w:t>
            </w: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0" w:type="auto"/>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0" w:type="auto"/>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 w:val="18"/>
                <w:szCs w:val="18"/>
              </w:rPr>
            </w:pPr>
          </w:p>
        </w:tc>
      </w:tr>
      <w:tr>
        <w:trPr>
          <w:trHeight w:val="30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0" w:type="auto"/>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宋体" w:hAnsi="宋体" w:eastAsia="宋体"/>
                <w:color w:val="000000"/>
                <w:sz w:val="18"/>
                <w:szCs w:val="18"/>
              </w:rPr>
            </w:pPr>
            <w:r>
              <w:rPr>
                <w:rFonts w:hint="eastAsia" w:ascii="宋体" w:hAnsi="宋体"/>
                <w:color w:val="000000"/>
                <w:kern w:val="0"/>
                <w:sz w:val="18"/>
                <w:szCs w:val="18"/>
              </w:rPr>
              <w:t>政府性基金预算</w:t>
            </w:r>
          </w:p>
        </w:tc>
        <w:tc>
          <w:tcPr>
            <w:tcW w:w="0" w:type="auto"/>
            <w:gridSpan w:val="2"/>
            <w:tcBorders>
              <w:top w:val="single" w:color="000000" w:sz="4" w:space="0"/>
              <w:left w:val="nil"/>
              <w:bottom w:val="single" w:color="000000" w:sz="4" w:space="0"/>
              <w:right w:val="single" w:color="000000" w:sz="4" w:space="0"/>
            </w:tcBorders>
            <w:noWrap/>
            <w:vAlign w:val="center"/>
          </w:tcPr>
          <w:p>
            <w:pPr>
              <w:rPr>
                <w:rFonts w:ascii="宋体" w:hAnsi="宋体" w:eastAsia="宋体"/>
                <w:color w:val="000000"/>
                <w:sz w:val="18"/>
                <w:szCs w:val="18"/>
              </w:rPr>
            </w:pPr>
          </w:p>
        </w:tc>
        <w:tc>
          <w:tcPr>
            <w:tcW w:w="0" w:type="auto"/>
            <w:tcBorders>
              <w:top w:val="single" w:color="000000" w:sz="4" w:space="0"/>
              <w:left w:val="nil"/>
              <w:bottom w:val="single" w:color="000000" w:sz="4" w:space="0"/>
              <w:right w:val="single" w:color="000000" w:sz="4" w:space="0"/>
            </w:tcBorders>
            <w:noWrap/>
            <w:vAlign w:val="center"/>
          </w:tcPr>
          <w:p>
            <w:pPr>
              <w:rPr>
                <w:rFonts w:ascii="宋体" w:hAnsi="宋体" w:eastAsia="宋体"/>
                <w:color w:val="000000"/>
                <w:sz w:val="18"/>
                <w:szCs w:val="18"/>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0" w:type="auto"/>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0" w:type="auto"/>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 w:val="18"/>
                <w:szCs w:val="18"/>
              </w:rPr>
            </w:pPr>
          </w:p>
        </w:tc>
      </w:tr>
      <w:tr>
        <w:tblPrEx>
          <w:tblCellMar>
            <w:top w:w="0" w:type="dxa"/>
            <w:left w:w="108" w:type="dxa"/>
            <w:bottom w:w="0" w:type="dxa"/>
            <w:right w:w="108" w:type="dxa"/>
          </w:tblCellMar>
        </w:tblPrEx>
        <w:trPr>
          <w:trHeight w:val="30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0" w:type="auto"/>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宋体" w:hAnsi="宋体" w:eastAsia="宋体"/>
                <w:color w:val="000000"/>
                <w:sz w:val="18"/>
                <w:szCs w:val="18"/>
              </w:rPr>
            </w:pPr>
            <w:r>
              <w:rPr>
                <w:rFonts w:hint="eastAsia" w:ascii="宋体" w:hAnsi="宋体"/>
                <w:color w:val="000000"/>
                <w:kern w:val="0"/>
                <w:sz w:val="18"/>
                <w:szCs w:val="18"/>
              </w:rPr>
              <w:t>国有资本经营预算</w:t>
            </w:r>
          </w:p>
        </w:tc>
        <w:tc>
          <w:tcPr>
            <w:tcW w:w="0" w:type="auto"/>
            <w:gridSpan w:val="2"/>
            <w:tcBorders>
              <w:top w:val="single" w:color="000000" w:sz="4" w:space="0"/>
              <w:left w:val="nil"/>
              <w:bottom w:val="single" w:color="000000" w:sz="4" w:space="0"/>
              <w:right w:val="single" w:color="000000" w:sz="4" w:space="0"/>
            </w:tcBorders>
            <w:noWrap/>
            <w:vAlign w:val="center"/>
          </w:tcPr>
          <w:p>
            <w:pPr>
              <w:rPr>
                <w:rFonts w:ascii="宋体" w:hAnsi="宋体" w:eastAsia="宋体"/>
                <w:color w:val="000000"/>
                <w:sz w:val="18"/>
                <w:szCs w:val="18"/>
              </w:rPr>
            </w:pPr>
          </w:p>
        </w:tc>
        <w:tc>
          <w:tcPr>
            <w:tcW w:w="0" w:type="auto"/>
            <w:tcBorders>
              <w:top w:val="single" w:color="000000" w:sz="4" w:space="0"/>
              <w:left w:val="nil"/>
              <w:bottom w:val="single" w:color="000000" w:sz="4" w:space="0"/>
              <w:right w:val="single" w:color="000000" w:sz="4" w:space="0"/>
            </w:tcBorders>
            <w:noWrap/>
            <w:vAlign w:val="center"/>
          </w:tcPr>
          <w:p>
            <w:pPr>
              <w:rPr>
                <w:rFonts w:ascii="宋体" w:hAnsi="宋体" w:eastAsia="宋体"/>
                <w:color w:val="000000"/>
                <w:sz w:val="18"/>
                <w:szCs w:val="18"/>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0" w:type="auto"/>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0" w:type="auto"/>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 w:val="18"/>
                <w:szCs w:val="18"/>
              </w:rPr>
            </w:pPr>
          </w:p>
        </w:tc>
      </w:tr>
      <w:tr>
        <w:tblPrEx>
          <w:tblCellMar>
            <w:top w:w="0" w:type="dxa"/>
            <w:left w:w="108" w:type="dxa"/>
            <w:bottom w:w="0" w:type="dxa"/>
            <w:right w:w="108" w:type="dxa"/>
          </w:tblCellMar>
        </w:tblPrEx>
        <w:trPr>
          <w:trHeight w:val="480" w:hRule="atLeast"/>
          <w:jc w:val="center"/>
        </w:trPr>
        <w:tc>
          <w:tcPr>
            <w:tcW w:w="1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项目概况</w:t>
            </w:r>
          </w:p>
        </w:tc>
        <w:tc>
          <w:tcPr>
            <w:tcW w:w="9450" w:type="dxa"/>
            <w:gridSpan w:val="10"/>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该项目经费为外聘人员工资、绩效奖、社保及公积金等支出。</w:t>
            </w:r>
          </w:p>
        </w:tc>
      </w:tr>
      <w:tr>
        <w:tblPrEx>
          <w:tblCellMar>
            <w:top w:w="0" w:type="dxa"/>
            <w:left w:w="108" w:type="dxa"/>
            <w:bottom w:w="0" w:type="dxa"/>
            <w:right w:w="108" w:type="dxa"/>
          </w:tblCellMar>
        </w:tblPrEx>
        <w:trPr>
          <w:trHeight w:val="439" w:hRule="atLeast"/>
          <w:jc w:val="center"/>
        </w:trPr>
        <w:tc>
          <w:tcPr>
            <w:tcW w:w="1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项目起止时间</w:t>
            </w:r>
          </w:p>
        </w:tc>
        <w:tc>
          <w:tcPr>
            <w:tcW w:w="9450" w:type="dxa"/>
            <w:gridSpan w:val="10"/>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2021年1月1日至2021年12月31日</w:t>
            </w:r>
          </w:p>
        </w:tc>
      </w:tr>
      <w:tr>
        <w:tblPrEx>
          <w:tblCellMar>
            <w:top w:w="0" w:type="dxa"/>
            <w:left w:w="108" w:type="dxa"/>
            <w:bottom w:w="0" w:type="dxa"/>
            <w:right w:w="108" w:type="dxa"/>
          </w:tblCellMar>
        </w:tblPrEx>
        <w:trPr>
          <w:trHeight w:val="480" w:hRule="atLeast"/>
          <w:jc w:val="center"/>
        </w:trPr>
        <w:tc>
          <w:tcPr>
            <w:tcW w:w="1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年度总体目标</w:t>
            </w:r>
          </w:p>
        </w:tc>
        <w:tc>
          <w:tcPr>
            <w:tcW w:w="9450" w:type="dxa"/>
            <w:gridSpan w:val="10"/>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年初预期目标：2021年12月完成支付</w:t>
            </w:r>
          </w:p>
        </w:tc>
      </w:tr>
      <w:tr>
        <w:tblPrEx>
          <w:tblCellMar>
            <w:top w:w="0" w:type="dxa"/>
            <w:left w:w="108" w:type="dxa"/>
            <w:bottom w:w="0" w:type="dxa"/>
            <w:right w:w="108" w:type="dxa"/>
          </w:tblCellMar>
        </w:tblPrEx>
        <w:trPr>
          <w:trHeight w:val="540" w:hRule="atLeast"/>
          <w:jc w:val="center"/>
        </w:trPr>
        <w:tc>
          <w:tcPr>
            <w:tcW w:w="0" w:type="auto"/>
            <w:vMerge w:val="restar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olor w:val="000000"/>
                <w:sz w:val="18"/>
                <w:szCs w:val="18"/>
              </w:rPr>
            </w:pPr>
            <w:r>
              <w:rPr>
                <w:rFonts w:hint="eastAsia" w:ascii="宋体" w:hAnsi="宋体"/>
                <w:color w:val="000000"/>
                <w:kern w:val="0"/>
                <w:sz w:val="18"/>
                <w:szCs w:val="18"/>
              </w:rPr>
              <w:t>年度绩效指标</w:t>
            </w:r>
          </w:p>
        </w:tc>
        <w:tc>
          <w:tcPr>
            <w:tcW w:w="15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18"/>
                <w:szCs w:val="18"/>
              </w:rPr>
            </w:pPr>
            <w:r>
              <w:rPr>
                <w:rFonts w:hint="eastAsia" w:ascii="宋体" w:hAnsi="宋体"/>
                <w:color w:val="000000"/>
                <w:kern w:val="0"/>
                <w:sz w:val="18"/>
                <w:szCs w:val="18"/>
              </w:rPr>
              <w:t>一级指标</w:t>
            </w:r>
          </w:p>
        </w:tc>
        <w:tc>
          <w:tcPr>
            <w:tcW w:w="129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18"/>
                <w:szCs w:val="18"/>
              </w:rPr>
            </w:pPr>
            <w:r>
              <w:rPr>
                <w:rFonts w:hint="eastAsia" w:ascii="宋体" w:hAnsi="宋体"/>
                <w:color w:val="000000"/>
                <w:kern w:val="0"/>
                <w:sz w:val="18"/>
                <w:szCs w:val="18"/>
              </w:rPr>
              <w:t>二级指标</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18"/>
                <w:szCs w:val="18"/>
              </w:rPr>
            </w:pPr>
            <w:r>
              <w:rPr>
                <w:rFonts w:hint="eastAsia" w:ascii="宋体" w:hAnsi="宋体"/>
                <w:color w:val="000000"/>
                <w:kern w:val="0"/>
                <w:sz w:val="18"/>
                <w:szCs w:val="18"/>
              </w:rPr>
              <w:t>三级指标</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18"/>
                <w:szCs w:val="18"/>
              </w:rPr>
            </w:pPr>
            <w:r>
              <w:rPr>
                <w:rFonts w:hint="eastAsia" w:ascii="宋体" w:hAnsi="宋体"/>
                <w:color w:val="000000"/>
                <w:kern w:val="0"/>
                <w:sz w:val="18"/>
                <w:szCs w:val="18"/>
              </w:rPr>
              <w:t>分值</w:t>
            </w:r>
          </w:p>
        </w:tc>
        <w:tc>
          <w:tcPr>
            <w:tcW w:w="1470"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18"/>
                <w:szCs w:val="18"/>
              </w:rPr>
            </w:pPr>
            <w:r>
              <w:rPr>
                <w:rFonts w:hint="eastAsia" w:ascii="宋体" w:hAnsi="宋体"/>
                <w:color w:val="000000"/>
                <w:kern w:val="0"/>
                <w:sz w:val="18"/>
                <w:szCs w:val="18"/>
              </w:rPr>
              <w:t xml:space="preserve">年度指标值(A)  </w:t>
            </w:r>
          </w:p>
        </w:tc>
        <w:tc>
          <w:tcPr>
            <w:tcW w:w="63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18"/>
                <w:szCs w:val="18"/>
              </w:rPr>
            </w:pPr>
            <w:r>
              <w:rPr>
                <w:rFonts w:hint="eastAsia" w:ascii="宋体" w:hAnsi="宋体"/>
                <w:color w:val="000000"/>
                <w:kern w:val="0"/>
                <w:sz w:val="18"/>
                <w:szCs w:val="18"/>
              </w:rPr>
              <w:t>全年实际值(B)</w:t>
            </w:r>
          </w:p>
        </w:tc>
        <w:tc>
          <w:tcPr>
            <w:tcW w:w="645"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18"/>
                <w:szCs w:val="18"/>
              </w:rPr>
            </w:pPr>
            <w:r>
              <w:rPr>
                <w:rFonts w:hint="eastAsia" w:ascii="宋体" w:hAnsi="宋体"/>
                <w:color w:val="000000"/>
                <w:kern w:val="0"/>
                <w:sz w:val="18"/>
                <w:szCs w:val="18"/>
              </w:rPr>
              <w:t>得分</w:t>
            </w:r>
          </w:p>
        </w:tc>
        <w:tc>
          <w:tcPr>
            <w:tcW w:w="129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18"/>
                <w:szCs w:val="18"/>
              </w:rPr>
            </w:pPr>
            <w:r>
              <w:rPr>
                <w:rFonts w:hint="eastAsia" w:ascii="宋体" w:hAnsi="宋体"/>
                <w:color w:val="000000"/>
                <w:kern w:val="0"/>
                <w:sz w:val="18"/>
                <w:szCs w:val="18"/>
              </w:rPr>
              <w:t>未完成原因分析</w:t>
            </w: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1515"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18"/>
                <w:szCs w:val="18"/>
              </w:rPr>
            </w:pPr>
            <w:r>
              <w:rPr>
                <w:rFonts w:hint="eastAsia" w:ascii="宋体" w:hAnsi="宋体"/>
                <w:color w:val="000000"/>
                <w:kern w:val="0"/>
                <w:sz w:val="18"/>
                <w:szCs w:val="18"/>
              </w:rPr>
              <w:t>过程指标          (10分)</w:t>
            </w:r>
          </w:p>
        </w:tc>
        <w:tc>
          <w:tcPr>
            <w:tcW w:w="1290"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 xml:space="preserve">制度管理指标      </w:t>
            </w:r>
          </w:p>
        </w:tc>
        <w:tc>
          <w:tcPr>
            <w:tcW w:w="0" w:type="auto"/>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按照本院规章制度管理聘用人员</w:t>
            </w:r>
          </w:p>
        </w:tc>
        <w:tc>
          <w:tcPr>
            <w:tcW w:w="0" w:type="auto"/>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5</w:t>
            </w:r>
          </w:p>
        </w:tc>
        <w:tc>
          <w:tcPr>
            <w:tcW w:w="1470" w:type="dxa"/>
            <w:gridSpan w:val="2"/>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按签订劳务合同人员发放</w:t>
            </w:r>
          </w:p>
        </w:tc>
        <w:tc>
          <w:tcPr>
            <w:tcW w:w="630"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按月发放</w:t>
            </w:r>
          </w:p>
        </w:tc>
        <w:tc>
          <w:tcPr>
            <w:tcW w:w="0" w:type="auto"/>
            <w:gridSpan w:val="2"/>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5</w:t>
            </w:r>
          </w:p>
        </w:tc>
        <w:tc>
          <w:tcPr>
            <w:tcW w:w="0" w:type="auto"/>
            <w:tcBorders>
              <w:top w:val="single" w:color="000000" w:sz="4" w:space="0"/>
              <w:left w:val="nil"/>
              <w:bottom w:val="single" w:color="000000" w:sz="4" w:space="0"/>
              <w:right w:val="single" w:color="000000" w:sz="4" w:space="0"/>
            </w:tcBorders>
            <w:noWrap/>
            <w:vAlign w:val="center"/>
          </w:tcPr>
          <w:p>
            <w:pPr>
              <w:rPr>
                <w:rFonts w:ascii="宋体" w:hAnsi="宋体" w:eastAsia="宋体"/>
                <w:color w:val="000000"/>
                <w:sz w:val="18"/>
                <w:szCs w:val="18"/>
              </w:rPr>
            </w:pPr>
          </w:p>
        </w:tc>
      </w:tr>
      <w:tr>
        <w:tblPrEx>
          <w:tblCellMar>
            <w:top w:w="0" w:type="dxa"/>
            <w:left w:w="108" w:type="dxa"/>
            <w:bottom w:w="0" w:type="dxa"/>
            <w:right w:w="108" w:type="dxa"/>
          </w:tblCellMar>
        </w:tblPrEx>
        <w:trPr>
          <w:trHeight w:val="435"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1290"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业务管理指标</w:t>
            </w:r>
          </w:p>
        </w:tc>
        <w:tc>
          <w:tcPr>
            <w:tcW w:w="1695"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w:t>
            </w:r>
          </w:p>
        </w:tc>
        <w:tc>
          <w:tcPr>
            <w:tcW w:w="915"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w:t>
            </w:r>
          </w:p>
        </w:tc>
        <w:tc>
          <w:tcPr>
            <w:tcW w:w="1470" w:type="dxa"/>
            <w:gridSpan w:val="2"/>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w:t>
            </w:r>
          </w:p>
        </w:tc>
        <w:tc>
          <w:tcPr>
            <w:tcW w:w="630"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w:t>
            </w:r>
          </w:p>
        </w:tc>
        <w:tc>
          <w:tcPr>
            <w:tcW w:w="0" w:type="auto"/>
            <w:gridSpan w:val="2"/>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w:t>
            </w:r>
          </w:p>
        </w:tc>
        <w:tc>
          <w:tcPr>
            <w:tcW w:w="0" w:type="auto"/>
            <w:tcBorders>
              <w:top w:val="single" w:color="000000" w:sz="4" w:space="0"/>
              <w:left w:val="nil"/>
              <w:bottom w:val="single" w:color="000000" w:sz="4" w:space="0"/>
              <w:right w:val="single" w:color="000000" w:sz="4" w:space="0"/>
            </w:tcBorders>
            <w:noWrap/>
            <w:vAlign w:val="center"/>
          </w:tcPr>
          <w:p>
            <w:pPr>
              <w:rPr>
                <w:rFonts w:ascii="宋体" w:hAnsi="宋体" w:eastAsia="宋体"/>
                <w:color w:val="000000"/>
                <w:sz w:val="18"/>
                <w:szCs w:val="18"/>
              </w:rPr>
            </w:pPr>
          </w:p>
        </w:tc>
      </w:tr>
      <w:tr>
        <w:trPr>
          <w:trHeight w:val="585"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1290"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财务管理指标</w:t>
            </w:r>
          </w:p>
        </w:tc>
        <w:tc>
          <w:tcPr>
            <w:tcW w:w="0" w:type="auto"/>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按照本院财务制度管理聘用人员经费支出</w:t>
            </w:r>
          </w:p>
        </w:tc>
        <w:tc>
          <w:tcPr>
            <w:tcW w:w="0" w:type="auto"/>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5</w:t>
            </w:r>
          </w:p>
        </w:tc>
        <w:tc>
          <w:tcPr>
            <w:tcW w:w="0" w:type="auto"/>
            <w:gridSpan w:val="2"/>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按照进度支付</w:t>
            </w:r>
          </w:p>
        </w:tc>
        <w:tc>
          <w:tcPr>
            <w:tcW w:w="630"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按月发放</w:t>
            </w:r>
          </w:p>
        </w:tc>
        <w:tc>
          <w:tcPr>
            <w:tcW w:w="0" w:type="auto"/>
            <w:gridSpan w:val="2"/>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5</w:t>
            </w:r>
          </w:p>
        </w:tc>
        <w:tc>
          <w:tcPr>
            <w:tcW w:w="0" w:type="auto"/>
            <w:tcBorders>
              <w:top w:val="single" w:color="000000" w:sz="4" w:space="0"/>
              <w:left w:val="nil"/>
              <w:bottom w:val="single" w:color="000000" w:sz="4" w:space="0"/>
              <w:right w:val="single" w:color="000000" w:sz="4" w:space="0"/>
            </w:tcBorders>
            <w:noWrap/>
            <w:vAlign w:val="center"/>
          </w:tcPr>
          <w:p>
            <w:pPr>
              <w:rPr>
                <w:rFonts w:ascii="宋体" w:hAnsi="宋体" w:eastAsia="宋体"/>
                <w:color w:val="000000"/>
                <w:sz w:val="18"/>
                <w:szCs w:val="18"/>
              </w:rPr>
            </w:pPr>
          </w:p>
        </w:tc>
      </w:tr>
      <w:tr>
        <w:trPr>
          <w:trHeight w:val="81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1515"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18"/>
                <w:szCs w:val="18"/>
              </w:rPr>
            </w:pPr>
            <w:r>
              <w:rPr>
                <w:rFonts w:hint="eastAsia" w:ascii="宋体" w:hAnsi="宋体"/>
                <w:color w:val="000000"/>
                <w:kern w:val="0"/>
                <w:sz w:val="18"/>
                <w:szCs w:val="18"/>
              </w:rPr>
              <w:t>产出指标                                                                                                                         (50分)</w:t>
            </w:r>
          </w:p>
        </w:tc>
        <w:tc>
          <w:tcPr>
            <w:tcW w:w="1290"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数量指标</w:t>
            </w:r>
          </w:p>
        </w:tc>
        <w:tc>
          <w:tcPr>
            <w:tcW w:w="1695"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按照市院核定人数，我院核定聘用人员人数为35人</w:t>
            </w:r>
          </w:p>
        </w:tc>
        <w:tc>
          <w:tcPr>
            <w:tcW w:w="0" w:type="auto"/>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10</w:t>
            </w:r>
          </w:p>
        </w:tc>
        <w:tc>
          <w:tcPr>
            <w:tcW w:w="1470" w:type="dxa"/>
            <w:gridSpan w:val="2"/>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35</w:t>
            </w:r>
          </w:p>
        </w:tc>
        <w:tc>
          <w:tcPr>
            <w:tcW w:w="630"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35</w:t>
            </w:r>
          </w:p>
        </w:tc>
        <w:tc>
          <w:tcPr>
            <w:tcW w:w="0" w:type="auto"/>
            <w:gridSpan w:val="2"/>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10</w:t>
            </w:r>
          </w:p>
        </w:tc>
        <w:tc>
          <w:tcPr>
            <w:tcW w:w="0" w:type="auto"/>
            <w:tcBorders>
              <w:top w:val="single" w:color="000000" w:sz="4" w:space="0"/>
              <w:left w:val="nil"/>
              <w:bottom w:val="single" w:color="000000" w:sz="4" w:space="0"/>
              <w:right w:val="single" w:color="000000" w:sz="4" w:space="0"/>
            </w:tcBorders>
            <w:noWrap/>
            <w:vAlign w:val="center"/>
          </w:tcPr>
          <w:p>
            <w:pPr>
              <w:rPr>
                <w:rFonts w:ascii="宋体" w:hAnsi="宋体" w:eastAsia="宋体"/>
                <w:color w:val="000000"/>
                <w:sz w:val="18"/>
                <w:szCs w:val="18"/>
              </w:rPr>
            </w:pPr>
          </w:p>
        </w:tc>
      </w:tr>
      <w:tr>
        <w:tblPrEx>
          <w:tblCellMar>
            <w:top w:w="0" w:type="dxa"/>
            <w:left w:w="108" w:type="dxa"/>
            <w:bottom w:w="0" w:type="dxa"/>
            <w:right w:w="108" w:type="dxa"/>
          </w:tblCellMar>
        </w:tblPrEx>
        <w:trPr>
          <w:trHeight w:val="54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1290"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质量指标</w:t>
            </w:r>
          </w:p>
        </w:tc>
        <w:tc>
          <w:tcPr>
            <w:tcW w:w="1695"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按劳务合同规定工资发放</w:t>
            </w:r>
          </w:p>
        </w:tc>
        <w:tc>
          <w:tcPr>
            <w:tcW w:w="0" w:type="auto"/>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15</w:t>
            </w:r>
          </w:p>
        </w:tc>
        <w:tc>
          <w:tcPr>
            <w:tcW w:w="1470" w:type="dxa"/>
            <w:gridSpan w:val="2"/>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按合同规定</w:t>
            </w:r>
          </w:p>
        </w:tc>
        <w:tc>
          <w:tcPr>
            <w:tcW w:w="630"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按合同规定</w:t>
            </w:r>
          </w:p>
        </w:tc>
        <w:tc>
          <w:tcPr>
            <w:tcW w:w="0" w:type="auto"/>
            <w:gridSpan w:val="2"/>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15</w:t>
            </w:r>
          </w:p>
        </w:tc>
        <w:tc>
          <w:tcPr>
            <w:tcW w:w="1290" w:type="dxa"/>
            <w:tcBorders>
              <w:top w:val="single" w:color="000000" w:sz="4" w:space="0"/>
              <w:left w:val="nil"/>
              <w:bottom w:val="single" w:color="000000" w:sz="4" w:space="0"/>
              <w:right w:val="single" w:color="000000" w:sz="4" w:space="0"/>
            </w:tcBorders>
            <w:vAlign w:val="center"/>
          </w:tcPr>
          <w:p>
            <w:pPr>
              <w:rPr>
                <w:rFonts w:ascii="宋体" w:hAnsi="宋体" w:eastAsia="宋体"/>
                <w:color w:val="000000"/>
                <w:sz w:val="18"/>
                <w:szCs w:val="18"/>
              </w:rPr>
            </w:pPr>
          </w:p>
        </w:tc>
      </w:tr>
      <w:tr>
        <w:tblPrEx>
          <w:tblCellMar>
            <w:top w:w="0" w:type="dxa"/>
            <w:left w:w="108" w:type="dxa"/>
            <w:bottom w:w="0" w:type="dxa"/>
            <w:right w:w="108" w:type="dxa"/>
          </w:tblCellMar>
        </w:tblPrEx>
        <w:trPr>
          <w:trHeight w:val="45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1290"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时效指标</w:t>
            </w:r>
          </w:p>
        </w:tc>
        <w:tc>
          <w:tcPr>
            <w:tcW w:w="1695"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每月按期发放工资</w:t>
            </w:r>
          </w:p>
        </w:tc>
        <w:tc>
          <w:tcPr>
            <w:tcW w:w="0" w:type="auto"/>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10</w:t>
            </w:r>
          </w:p>
        </w:tc>
        <w:tc>
          <w:tcPr>
            <w:tcW w:w="1470" w:type="dxa"/>
            <w:gridSpan w:val="2"/>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按月发放</w:t>
            </w:r>
          </w:p>
        </w:tc>
        <w:tc>
          <w:tcPr>
            <w:tcW w:w="630"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按月发放</w:t>
            </w:r>
          </w:p>
        </w:tc>
        <w:tc>
          <w:tcPr>
            <w:tcW w:w="0" w:type="auto"/>
            <w:gridSpan w:val="2"/>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10</w:t>
            </w:r>
          </w:p>
        </w:tc>
        <w:tc>
          <w:tcPr>
            <w:tcW w:w="1290" w:type="dxa"/>
            <w:tcBorders>
              <w:top w:val="single" w:color="000000" w:sz="4" w:space="0"/>
              <w:left w:val="nil"/>
              <w:bottom w:val="single" w:color="000000" w:sz="4" w:space="0"/>
              <w:right w:val="single" w:color="000000" w:sz="4" w:space="0"/>
            </w:tcBorders>
            <w:vAlign w:val="center"/>
          </w:tcPr>
          <w:p>
            <w:pPr>
              <w:rPr>
                <w:rFonts w:ascii="宋体" w:hAnsi="宋体" w:eastAsia="宋体"/>
                <w:color w:val="000000"/>
                <w:sz w:val="18"/>
                <w:szCs w:val="18"/>
              </w:rPr>
            </w:pPr>
          </w:p>
        </w:tc>
      </w:tr>
      <w:tr>
        <w:tblPrEx>
          <w:tblCellMar>
            <w:top w:w="0" w:type="dxa"/>
            <w:left w:w="108" w:type="dxa"/>
            <w:bottom w:w="0" w:type="dxa"/>
            <w:right w:w="108" w:type="dxa"/>
          </w:tblCellMar>
        </w:tblPrEx>
        <w:trPr>
          <w:trHeight w:val="45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1290"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成本指标</w:t>
            </w:r>
          </w:p>
        </w:tc>
        <w:tc>
          <w:tcPr>
            <w:tcW w:w="1695"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按签</w:t>
            </w:r>
            <w:r>
              <w:rPr>
                <w:rFonts w:hint="eastAsia" w:ascii="宋体" w:hAnsi="宋体"/>
                <w:color w:val="000000"/>
                <w:kern w:val="0"/>
                <w:sz w:val="18"/>
                <w:szCs w:val="18"/>
                <w:lang w:val="en-US" w:eastAsia="zh-CN"/>
              </w:rPr>
              <w:t>订</w:t>
            </w:r>
            <w:bookmarkStart w:id="0" w:name="_GoBack"/>
            <w:bookmarkEnd w:id="0"/>
            <w:r>
              <w:rPr>
                <w:rFonts w:hint="eastAsia" w:ascii="宋体" w:hAnsi="宋体"/>
                <w:color w:val="000000"/>
                <w:kern w:val="0"/>
                <w:sz w:val="18"/>
                <w:szCs w:val="18"/>
              </w:rPr>
              <w:t>合同规定支付</w:t>
            </w:r>
          </w:p>
        </w:tc>
        <w:tc>
          <w:tcPr>
            <w:tcW w:w="0" w:type="auto"/>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15</w:t>
            </w:r>
          </w:p>
        </w:tc>
        <w:tc>
          <w:tcPr>
            <w:tcW w:w="1470" w:type="dxa"/>
            <w:gridSpan w:val="2"/>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按合同规定</w:t>
            </w:r>
          </w:p>
        </w:tc>
        <w:tc>
          <w:tcPr>
            <w:tcW w:w="630"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按合同规定</w:t>
            </w:r>
          </w:p>
        </w:tc>
        <w:tc>
          <w:tcPr>
            <w:tcW w:w="0" w:type="auto"/>
            <w:gridSpan w:val="2"/>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15</w:t>
            </w:r>
          </w:p>
        </w:tc>
        <w:tc>
          <w:tcPr>
            <w:tcW w:w="1290" w:type="dxa"/>
            <w:tcBorders>
              <w:top w:val="single" w:color="000000" w:sz="4" w:space="0"/>
              <w:left w:val="nil"/>
              <w:bottom w:val="single" w:color="000000" w:sz="4" w:space="0"/>
              <w:right w:val="single" w:color="000000" w:sz="4" w:space="0"/>
            </w:tcBorders>
            <w:vAlign w:val="center"/>
          </w:tcPr>
          <w:p>
            <w:pPr>
              <w:rPr>
                <w:rFonts w:ascii="宋体" w:hAnsi="宋体" w:eastAsia="宋体"/>
                <w:color w:val="000000"/>
                <w:sz w:val="18"/>
                <w:szCs w:val="18"/>
              </w:rPr>
            </w:pPr>
          </w:p>
        </w:tc>
      </w:tr>
      <w:tr>
        <w:tblPrEx>
          <w:tblCellMar>
            <w:top w:w="0" w:type="dxa"/>
            <w:left w:w="108" w:type="dxa"/>
            <w:bottom w:w="0" w:type="dxa"/>
            <w:right w:w="108" w:type="dxa"/>
          </w:tblCellMar>
        </w:tblPrEx>
        <w:trPr>
          <w:trHeight w:val="42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1515"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18"/>
                <w:szCs w:val="18"/>
              </w:rPr>
            </w:pPr>
            <w:r>
              <w:rPr>
                <w:rFonts w:hint="eastAsia" w:ascii="宋体" w:hAnsi="宋体"/>
                <w:color w:val="000000"/>
                <w:kern w:val="0"/>
                <w:sz w:val="18"/>
                <w:szCs w:val="18"/>
              </w:rPr>
              <w:t>效益指标                                                                                                                           (20分)</w:t>
            </w:r>
          </w:p>
        </w:tc>
        <w:tc>
          <w:tcPr>
            <w:tcW w:w="1290"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经济效益指标</w:t>
            </w:r>
          </w:p>
        </w:tc>
        <w:tc>
          <w:tcPr>
            <w:tcW w:w="1695"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足额发放工资</w:t>
            </w:r>
          </w:p>
        </w:tc>
        <w:tc>
          <w:tcPr>
            <w:tcW w:w="0" w:type="auto"/>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10</w:t>
            </w:r>
          </w:p>
        </w:tc>
        <w:tc>
          <w:tcPr>
            <w:tcW w:w="1470" w:type="dxa"/>
            <w:gridSpan w:val="2"/>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按月发放</w:t>
            </w:r>
          </w:p>
        </w:tc>
        <w:tc>
          <w:tcPr>
            <w:tcW w:w="630"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按月发放</w:t>
            </w:r>
          </w:p>
        </w:tc>
        <w:tc>
          <w:tcPr>
            <w:tcW w:w="0" w:type="auto"/>
            <w:gridSpan w:val="2"/>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10</w:t>
            </w:r>
          </w:p>
        </w:tc>
        <w:tc>
          <w:tcPr>
            <w:tcW w:w="1290" w:type="dxa"/>
            <w:tcBorders>
              <w:top w:val="single" w:color="000000" w:sz="4" w:space="0"/>
              <w:left w:val="nil"/>
              <w:bottom w:val="single" w:color="000000" w:sz="4" w:space="0"/>
              <w:right w:val="single" w:color="000000" w:sz="4" w:space="0"/>
            </w:tcBorders>
            <w:vAlign w:val="center"/>
          </w:tcPr>
          <w:p>
            <w:pPr>
              <w:rPr>
                <w:rFonts w:ascii="宋体" w:hAnsi="宋体" w:eastAsia="宋体"/>
                <w:color w:val="000000"/>
                <w:sz w:val="18"/>
                <w:szCs w:val="18"/>
              </w:rPr>
            </w:pPr>
          </w:p>
        </w:tc>
      </w:tr>
      <w:tr>
        <w:tblPrEx>
          <w:tblCellMar>
            <w:top w:w="0" w:type="dxa"/>
            <w:left w:w="108" w:type="dxa"/>
            <w:bottom w:w="0" w:type="dxa"/>
            <w:right w:w="108" w:type="dxa"/>
          </w:tblCellMar>
        </w:tblPrEx>
        <w:trPr>
          <w:trHeight w:val="42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1290"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社会效益指标</w:t>
            </w:r>
          </w:p>
        </w:tc>
        <w:tc>
          <w:tcPr>
            <w:tcW w:w="1695"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w:t>
            </w:r>
          </w:p>
        </w:tc>
        <w:tc>
          <w:tcPr>
            <w:tcW w:w="915"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w:t>
            </w:r>
          </w:p>
        </w:tc>
        <w:tc>
          <w:tcPr>
            <w:tcW w:w="1470" w:type="dxa"/>
            <w:gridSpan w:val="2"/>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w:t>
            </w:r>
          </w:p>
        </w:tc>
        <w:tc>
          <w:tcPr>
            <w:tcW w:w="630"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w:t>
            </w:r>
          </w:p>
        </w:tc>
        <w:tc>
          <w:tcPr>
            <w:tcW w:w="0" w:type="auto"/>
            <w:gridSpan w:val="2"/>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w:t>
            </w:r>
          </w:p>
        </w:tc>
        <w:tc>
          <w:tcPr>
            <w:tcW w:w="1290" w:type="dxa"/>
            <w:tcBorders>
              <w:top w:val="single" w:color="000000" w:sz="4" w:space="0"/>
              <w:left w:val="nil"/>
              <w:bottom w:val="single" w:color="000000" w:sz="4" w:space="0"/>
              <w:right w:val="single" w:color="000000" w:sz="4" w:space="0"/>
            </w:tcBorders>
            <w:vAlign w:val="center"/>
          </w:tcPr>
          <w:p>
            <w:pPr>
              <w:rPr>
                <w:rFonts w:ascii="宋体" w:hAnsi="宋体" w:eastAsia="宋体"/>
                <w:color w:val="000000"/>
                <w:sz w:val="18"/>
                <w:szCs w:val="18"/>
              </w:rPr>
            </w:pPr>
          </w:p>
        </w:tc>
      </w:tr>
      <w:tr>
        <w:tblPrEx>
          <w:tblCellMar>
            <w:top w:w="0" w:type="dxa"/>
            <w:left w:w="108" w:type="dxa"/>
            <w:bottom w:w="0" w:type="dxa"/>
            <w:right w:w="108" w:type="dxa"/>
          </w:tblCellMar>
        </w:tblPrEx>
        <w:trPr>
          <w:trHeight w:val="42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1290"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生态效益指标</w:t>
            </w:r>
          </w:p>
        </w:tc>
        <w:tc>
          <w:tcPr>
            <w:tcW w:w="1695"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w:t>
            </w:r>
          </w:p>
        </w:tc>
        <w:tc>
          <w:tcPr>
            <w:tcW w:w="915"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w:t>
            </w:r>
          </w:p>
        </w:tc>
        <w:tc>
          <w:tcPr>
            <w:tcW w:w="1470" w:type="dxa"/>
            <w:gridSpan w:val="2"/>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w:t>
            </w:r>
          </w:p>
        </w:tc>
        <w:tc>
          <w:tcPr>
            <w:tcW w:w="630"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w:t>
            </w:r>
          </w:p>
        </w:tc>
        <w:tc>
          <w:tcPr>
            <w:tcW w:w="0" w:type="auto"/>
            <w:gridSpan w:val="2"/>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w:t>
            </w:r>
          </w:p>
        </w:tc>
        <w:tc>
          <w:tcPr>
            <w:tcW w:w="1290" w:type="dxa"/>
            <w:tcBorders>
              <w:top w:val="single" w:color="000000" w:sz="4" w:space="0"/>
              <w:left w:val="nil"/>
              <w:bottom w:val="single" w:color="000000" w:sz="4" w:space="0"/>
              <w:right w:val="single" w:color="000000" w:sz="4" w:space="0"/>
            </w:tcBorders>
            <w:vAlign w:val="center"/>
          </w:tcPr>
          <w:p>
            <w:pPr>
              <w:rPr>
                <w:rFonts w:ascii="宋体" w:hAnsi="宋体" w:eastAsia="宋体"/>
                <w:color w:val="000000"/>
                <w:sz w:val="18"/>
                <w:szCs w:val="18"/>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1290"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可持续影响指标</w:t>
            </w:r>
          </w:p>
        </w:tc>
        <w:tc>
          <w:tcPr>
            <w:tcW w:w="1695"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聘用人员是否工作稳定</w:t>
            </w:r>
          </w:p>
        </w:tc>
        <w:tc>
          <w:tcPr>
            <w:tcW w:w="915"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10</w:t>
            </w:r>
          </w:p>
        </w:tc>
        <w:tc>
          <w:tcPr>
            <w:tcW w:w="1470" w:type="dxa"/>
            <w:gridSpan w:val="2"/>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在职时间大于一年以上</w:t>
            </w:r>
          </w:p>
        </w:tc>
        <w:tc>
          <w:tcPr>
            <w:tcW w:w="630"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90%</w:t>
            </w:r>
          </w:p>
        </w:tc>
        <w:tc>
          <w:tcPr>
            <w:tcW w:w="645" w:type="dxa"/>
            <w:gridSpan w:val="2"/>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8</w:t>
            </w:r>
          </w:p>
        </w:tc>
        <w:tc>
          <w:tcPr>
            <w:tcW w:w="1290"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因工作需要，增加新聘人员</w:t>
            </w:r>
          </w:p>
        </w:tc>
      </w:tr>
      <w:tr>
        <w:tblPrEx>
          <w:tblCellMar>
            <w:top w:w="0" w:type="dxa"/>
            <w:left w:w="108" w:type="dxa"/>
            <w:bottom w:w="0" w:type="dxa"/>
            <w:right w:w="108" w:type="dxa"/>
          </w:tblCellMar>
        </w:tblPrEx>
        <w:trPr>
          <w:trHeight w:val="69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18"/>
                <w:szCs w:val="18"/>
              </w:rPr>
            </w:pPr>
          </w:p>
        </w:tc>
        <w:tc>
          <w:tcPr>
            <w:tcW w:w="15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18"/>
                <w:szCs w:val="18"/>
              </w:rPr>
            </w:pPr>
            <w:r>
              <w:rPr>
                <w:rFonts w:hint="eastAsia" w:ascii="宋体" w:hAnsi="宋体"/>
                <w:color w:val="000000"/>
                <w:kern w:val="0"/>
                <w:sz w:val="18"/>
                <w:szCs w:val="18"/>
              </w:rPr>
              <w:t>满意度指标（10分）</w:t>
            </w:r>
          </w:p>
        </w:tc>
        <w:tc>
          <w:tcPr>
            <w:tcW w:w="1290"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服务对象满意度指标</w:t>
            </w:r>
          </w:p>
        </w:tc>
        <w:tc>
          <w:tcPr>
            <w:tcW w:w="0" w:type="auto"/>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聘用人员是否满意</w:t>
            </w:r>
          </w:p>
        </w:tc>
        <w:tc>
          <w:tcPr>
            <w:tcW w:w="0" w:type="auto"/>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10</w:t>
            </w:r>
          </w:p>
        </w:tc>
        <w:tc>
          <w:tcPr>
            <w:tcW w:w="0" w:type="auto"/>
            <w:gridSpan w:val="2"/>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不定期调查，全年不低于3次</w:t>
            </w:r>
          </w:p>
        </w:tc>
        <w:tc>
          <w:tcPr>
            <w:tcW w:w="630"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3次</w:t>
            </w:r>
          </w:p>
        </w:tc>
        <w:tc>
          <w:tcPr>
            <w:tcW w:w="0" w:type="auto"/>
            <w:gridSpan w:val="2"/>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10</w:t>
            </w:r>
          </w:p>
        </w:tc>
        <w:tc>
          <w:tcPr>
            <w:tcW w:w="1290" w:type="dxa"/>
            <w:tcBorders>
              <w:top w:val="single" w:color="000000" w:sz="4" w:space="0"/>
              <w:left w:val="nil"/>
              <w:bottom w:val="single" w:color="000000" w:sz="4" w:space="0"/>
              <w:right w:val="single" w:color="000000" w:sz="4" w:space="0"/>
            </w:tcBorders>
            <w:vAlign w:val="center"/>
          </w:tcPr>
          <w:p>
            <w:pPr>
              <w:rPr>
                <w:rFonts w:ascii="宋体" w:hAnsi="宋体" w:eastAsia="宋体"/>
                <w:color w:val="000000"/>
                <w:sz w:val="18"/>
                <w:szCs w:val="18"/>
              </w:rPr>
            </w:pPr>
          </w:p>
        </w:tc>
      </w:tr>
      <w:tr>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b/>
                <w:bCs/>
                <w:color w:val="000000"/>
                <w:sz w:val="18"/>
                <w:szCs w:val="18"/>
              </w:rPr>
            </w:pPr>
            <w:r>
              <w:rPr>
                <w:rFonts w:hint="eastAsia" w:ascii="宋体" w:hAnsi="宋体"/>
                <w:b/>
                <w:bCs/>
                <w:color w:val="000000"/>
                <w:kern w:val="0"/>
                <w:sz w:val="18"/>
                <w:szCs w:val="18"/>
              </w:rPr>
              <w:t>绩效自评得分</w:t>
            </w:r>
          </w:p>
        </w:tc>
        <w:tc>
          <w:tcPr>
            <w:tcW w:w="0" w:type="auto"/>
            <w:gridSpan w:val="10"/>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b/>
                <w:bCs/>
                <w:color w:val="000000"/>
                <w:sz w:val="18"/>
                <w:szCs w:val="18"/>
              </w:rPr>
            </w:pPr>
            <w:r>
              <w:rPr>
                <w:rFonts w:hint="eastAsia" w:ascii="宋体" w:hAnsi="宋体"/>
                <w:b/>
                <w:bCs/>
                <w:color w:val="000000"/>
                <w:kern w:val="0"/>
                <w:sz w:val="18"/>
                <w:szCs w:val="18"/>
              </w:rPr>
              <w:t>98</w:t>
            </w:r>
          </w:p>
        </w:tc>
      </w:tr>
      <w:tr>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b/>
                <w:bCs/>
                <w:color w:val="000000"/>
                <w:sz w:val="18"/>
                <w:szCs w:val="18"/>
              </w:rPr>
            </w:pPr>
          </w:p>
        </w:tc>
        <w:tc>
          <w:tcPr>
            <w:tcW w:w="0" w:type="auto"/>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填报人：蒙绍颖</w:t>
            </w:r>
          </w:p>
        </w:tc>
        <w:tc>
          <w:tcPr>
            <w:tcW w:w="0" w:type="auto"/>
            <w:gridSpan w:val="7"/>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联系电话：3163896</w:t>
            </w:r>
          </w:p>
        </w:tc>
        <w:tc>
          <w:tcPr>
            <w:tcW w:w="0" w:type="auto"/>
            <w:tcBorders>
              <w:top w:val="single" w:color="000000" w:sz="4" w:space="0"/>
              <w:left w:val="nil"/>
              <w:bottom w:val="single" w:color="000000" w:sz="4" w:space="0"/>
              <w:right w:val="single" w:color="000000" w:sz="4" w:space="0"/>
            </w:tcBorders>
            <w:noWrap/>
            <w:vAlign w:val="center"/>
          </w:tcPr>
          <w:p>
            <w:pPr>
              <w:rPr>
                <w:rFonts w:ascii="宋体" w:hAnsi="宋体" w:eastAsia="宋体"/>
                <w:color w:val="000000"/>
                <w:sz w:val="18"/>
                <w:szCs w:val="18"/>
              </w:rPr>
            </w:pPr>
          </w:p>
        </w:tc>
        <w:tc>
          <w:tcPr>
            <w:tcW w:w="0" w:type="auto"/>
            <w:tcBorders>
              <w:top w:val="single" w:color="000000" w:sz="4" w:space="0"/>
              <w:left w:val="nil"/>
              <w:bottom w:val="single" w:color="000000" w:sz="4" w:space="0"/>
              <w:right w:val="single" w:color="000000" w:sz="4" w:space="0"/>
            </w:tcBorders>
            <w:noWrap/>
            <w:vAlign w:val="center"/>
          </w:tcPr>
          <w:p>
            <w:pPr>
              <w:rPr>
                <w:rFonts w:ascii="宋体" w:hAnsi="宋体" w:eastAsia="宋体"/>
                <w:color w:val="000000"/>
                <w:sz w:val="18"/>
                <w:szCs w:val="18"/>
              </w:rPr>
            </w:pPr>
          </w:p>
        </w:tc>
      </w:tr>
      <w:tr>
        <w:tblPrEx>
          <w:tblCellMar>
            <w:top w:w="0" w:type="dxa"/>
            <w:left w:w="108" w:type="dxa"/>
            <w:bottom w:w="0" w:type="dxa"/>
            <w:right w:w="108" w:type="dxa"/>
          </w:tblCellMar>
        </w:tblPrEx>
        <w:trPr>
          <w:trHeight w:val="16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eastAsia="宋体"/>
                <w:color w:val="000000"/>
                <w:sz w:val="18"/>
                <w:szCs w:val="18"/>
              </w:rPr>
            </w:pPr>
            <w:r>
              <w:rPr>
                <w:rFonts w:hint="eastAsia" w:ascii="宋体" w:hAnsi="宋体"/>
                <w:color w:val="000000"/>
                <w:kern w:val="0"/>
                <w:sz w:val="18"/>
                <w:szCs w:val="18"/>
              </w:rPr>
              <w:t>注：1.得分一档最高不能超过该指标分值上限；2.“制度管理指标”包括是否制定项目资金管理、绩效管理等制度文件；“业务管理指标”包括是否成立项目领导小组或机构执行；项目合同、验收报告、技术鉴定等资料是否齐全并及时归档；是否</w:t>
            </w:r>
            <w:r>
              <w:rPr>
                <w:rStyle w:val="8"/>
                <w:rFonts w:hint="default" w:hAnsi="宋体"/>
              </w:rPr>
              <w:t>为达到业务质量要求而采取了</w:t>
            </w:r>
            <w:r>
              <w:rPr>
                <w:rStyle w:val="7"/>
                <w:rFonts w:hint="default"/>
              </w:rPr>
              <w:t>相应的项目质量检查、验收等控制措施；“财务管理指标”包括资金的拨付是否有完整的审批程序和手续，</w:t>
            </w:r>
            <w:r>
              <w:rPr>
                <w:rStyle w:val="8"/>
                <w:rFonts w:hint="default" w:hAnsi="宋体"/>
              </w:rPr>
              <w:t>资金管理制度是否健全且经费使用合理等</w:t>
            </w:r>
            <w:r>
              <w:rPr>
                <w:rStyle w:val="7"/>
                <w:rFonts w:hint="default"/>
              </w:rPr>
              <w:t>； 3.定性指标根据指标完成情况分为：达成预期指标、部分达成预期指标并具有一定效果、未达成预期指标且效果较差三档，分别按照该指标对应分值区间100%—80%(含)、80%—60%(含)、60%—0%合理确定分值；4.请在“未完成原因分析”中说明偏离目标、不能完成目标的原因及拟采取的措施。若内容过多可以另附说明。</w:t>
            </w:r>
          </w:p>
        </w:tc>
      </w:tr>
    </w:tbl>
    <w:p>
      <w:pPr>
        <w:rPr>
          <w:rFonts w:ascii="仿宋" w:hAnsi="仿宋" w:eastAsia="仿宋" w:cs="仿宋"/>
          <w:kern w:val="0"/>
          <w:sz w:val="32"/>
          <w:szCs w:val="32"/>
        </w:rPr>
      </w:pPr>
    </w:p>
    <w:p>
      <w:pPr>
        <w:rPr>
          <w:rFonts w:ascii="仿宋" w:hAnsi="仿宋" w:eastAsia="仿宋" w:cs="仿宋"/>
          <w:kern w:val="0"/>
          <w:sz w:val="32"/>
          <w:szCs w:val="32"/>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2"/>
                </w:pPr>
                <w:r>
                  <w:rPr>
                    <w:rFonts w:hint="eastAsia"/>
                  </w:rPr>
                  <w:t>－</w:t>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rPr>
                  <w:t>16</w:t>
                </w:r>
                <w:r>
                  <w:rPr>
                    <w:rFonts w:ascii="Times New Roman" w:hAnsi="Times New Roman" w:cs="Times New Roman"/>
                    <w:sz w:val="30"/>
                    <w:szCs w:val="30"/>
                  </w:rPr>
                  <w:fldChar w:fldCharType="end"/>
                </w:r>
                <w:r>
                  <w:rPr>
                    <w:rFonts w:hint="eastAsia"/>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9A888"/>
    <w:multiLevelType w:val="singleLevel"/>
    <w:tmpl w:val="A119A888"/>
    <w:lvl w:ilvl="0" w:tentative="0">
      <w:start w:val="1"/>
      <w:numFmt w:val="chineseCounting"/>
      <w:suff w:val="nothing"/>
      <w:lvlText w:val="（%1）"/>
      <w:lvlJc w:val="left"/>
      <w:rPr>
        <w:rFonts w:hint="eastAsia"/>
      </w:rPr>
    </w:lvl>
  </w:abstractNum>
  <w:abstractNum w:abstractNumId="1">
    <w:nsid w:val="CF9634E1"/>
    <w:multiLevelType w:val="singleLevel"/>
    <w:tmpl w:val="CF9634E1"/>
    <w:lvl w:ilvl="0" w:tentative="0">
      <w:start w:val="1"/>
      <w:numFmt w:val="chineseCounting"/>
      <w:suff w:val="nothing"/>
      <w:lvlText w:val="%1、"/>
      <w:lvlJc w:val="left"/>
      <w:pPr>
        <w:ind w:left="64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hjNDNkODRjZTUyODY5NDBlZDQxOWMwN2RjODhiODIifQ=="/>
  </w:docVars>
  <w:rsids>
    <w:rsidRoot w:val="7E3F2EC1"/>
    <w:rsid w:val="00083BC8"/>
    <w:rsid w:val="00193482"/>
    <w:rsid w:val="00D651DF"/>
    <w:rsid w:val="0B225673"/>
    <w:rsid w:val="164A6D29"/>
    <w:rsid w:val="268A7267"/>
    <w:rsid w:val="325918CE"/>
    <w:rsid w:val="43580B32"/>
    <w:rsid w:val="467557CF"/>
    <w:rsid w:val="5026213D"/>
    <w:rsid w:val="56EE0157"/>
    <w:rsid w:val="5C925BCB"/>
    <w:rsid w:val="6E2A4841"/>
    <w:rsid w:val="719607D2"/>
    <w:rsid w:val="7E3F2EC1"/>
    <w:rsid w:val="7E933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15"/>
    <w:basedOn w:val="5"/>
    <w:qFormat/>
    <w:uiPriority w:val="0"/>
    <w:rPr>
      <w:rFonts w:hint="eastAsia" w:ascii="宋体" w:hAnsi="宋体" w:eastAsia="宋体"/>
      <w:color w:val="000000"/>
      <w:sz w:val="18"/>
      <w:szCs w:val="18"/>
    </w:rPr>
  </w:style>
  <w:style w:type="character" w:customStyle="1" w:styleId="8">
    <w:name w:val="16"/>
    <w:basedOn w:val="5"/>
    <w:qFormat/>
    <w:uiPriority w:val="0"/>
    <w:rPr>
      <w:rFonts w:hint="eastAsia" w:ascii="仿宋_GB2312" w:eastAsia="仿宋_GB2312"/>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6766</Words>
  <Characters>7703</Characters>
  <Lines>59</Lines>
  <Paragraphs>16</Paragraphs>
  <TotalTime>72</TotalTime>
  <ScaleCrop>false</ScaleCrop>
  <LinksUpToDate>false</LinksUpToDate>
  <CharactersWithSpaces>8038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2022-08-09T07:34:00Z</dcterms:created>
  <dc:creator>Administrator</dc:creator>
  <cp:lastModifiedBy>哒哒陳</cp:lastModifiedBy>
  <cp:lastPrinted>2022-08-09T08:25:00Z</cp:lastPrinted>
  <dcterms:modified xsi:type="dcterms:W3CDTF">2022-09-13T09:12:56Z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2B879A21485048C482CAF3C7D3D46CB4</vt:lpwstr>
  </property>
</Properties>
</file>