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bookmarkStart w:id="1" w:name="_GoBack"/>
      <w:bookmarkEnd w:id="1"/>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u w:val="none"/>
          <w:lang w:eastAsia="zh-CN"/>
        </w:rPr>
      </w:pPr>
      <w:r>
        <w:rPr>
          <w:rFonts w:hint="eastAsia" w:ascii="黑体" w:eastAsia="黑体" w:cs="ArialUnicodeMS"/>
          <w:kern w:val="0"/>
          <w:sz w:val="52"/>
          <w:szCs w:val="52"/>
          <w:u w:val="none"/>
        </w:rPr>
        <w:t>柳州市</w:t>
      </w:r>
      <w:r>
        <w:rPr>
          <w:rFonts w:hint="eastAsia" w:ascii="黑体" w:hAnsi="黑体" w:eastAsia="黑体"/>
          <w:bCs/>
          <w:color w:val="000000"/>
          <w:sz w:val="52"/>
          <w:szCs w:val="52"/>
          <w:u w:val="none"/>
          <w:lang w:eastAsia="zh-CN"/>
        </w:rPr>
        <w:t>第一职业技术学校</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单位</w:t>
      </w:r>
      <w:r>
        <w:rPr>
          <w:rFonts w:hint="eastAsia" w:ascii="仿宋_GB2312" w:eastAsia="仿宋_GB2312"/>
          <w:b/>
          <w:sz w:val="32"/>
          <w:szCs w:val="32"/>
        </w:rPr>
        <w:t>概况</w:t>
      </w:r>
    </w:p>
    <w:p>
      <w:pPr>
        <w:numPr>
          <w:ilvl w:val="0"/>
          <w:numId w:val="1"/>
        </w:numPr>
        <w:ind w:firstLine="645"/>
        <w:rPr>
          <w:rFonts w:hint="eastAsia" w:ascii="仿宋_GB2312" w:eastAsia="仿宋_GB2312"/>
          <w:sz w:val="32"/>
          <w:szCs w:val="32"/>
        </w:rPr>
      </w:pPr>
      <w:r>
        <w:rPr>
          <w:rFonts w:hint="eastAsia" w:ascii="仿宋_GB2312" w:eastAsia="仿宋_GB2312"/>
          <w:sz w:val="32"/>
          <w:szCs w:val="32"/>
        </w:rPr>
        <w:t>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u w:val="none"/>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单位</w:t>
      </w:r>
      <w:r>
        <w:rPr>
          <w:rFonts w:hint="eastAsia" w:ascii="仿宋_GB2312" w:eastAsia="仿宋_GB2312"/>
          <w:b/>
          <w:sz w:val="32"/>
          <w:szCs w:val="32"/>
          <w:u w:val="none"/>
        </w:rPr>
        <w:t>概况</w:t>
      </w:r>
    </w:p>
    <w:p>
      <w:pPr>
        <w:numPr>
          <w:ilvl w:val="0"/>
          <w:numId w:val="2"/>
        </w:numPr>
        <w:ind w:firstLine="646"/>
        <w:rPr>
          <w:rFonts w:hint="eastAsia" w:ascii="仿宋_GB2312" w:eastAsia="仿宋_GB2312"/>
          <w:sz w:val="32"/>
          <w:szCs w:val="32"/>
        </w:rPr>
      </w:pPr>
      <w:r>
        <w:rPr>
          <w:rFonts w:hint="eastAsia" w:ascii="仿宋_GB2312" w:eastAsia="仿宋_GB2312"/>
          <w:sz w:val="32"/>
          <w:szCs w:val="32"/>
        </w:rPr>
        <w:t>主要职能</w:t>
      </w:r>
    </w:p>
    <w:p>
      <w:pPr>
        <w:spacing w:line="560" w:lineRule="exact"/>
        <w:ind w:firstLine="450" w:firstLineChars="150"/>
        <w:rPr>
          <w:rFonts w:ascii="仿宋_GB2312" w:eastAsia="仿宋_GB2312" w:hAnsiTheme="minorEastAsia"/>
          <w:sz w:val="30"/>
          <w:szCs w:val="30"/>
        </w:rPr>
      </w:pPr>
      <w:r>
        <w:rPr>
          <w:rFonts w:hint="eastAsia" w:ascii="仿宋_GB2312" w:eastAsia="仿宋_GB2312" w:hAnsiTheme="minorEastAsia"/>
          <w:sz w:val="30"/>
          <w:szCs w:val="30"/>
        </w:rPr>
        <w:t>柳州市</w:t>
      </w:r>
      <w:r>
        <w:rPr>
          <w:rFonts w:ascii="仿宋_GB2312" w:eastAsia="仿宋_GB2312" w:hAnsiTheme="minorEastAsia"/>
          <w:sz w:val="30"/>
          <w:szCs w:val="30"/>
        </w:rPr>
        <w:t>第一职业技术学校</w:t>
      </w:r>
      <w:r>
        <w:rPr>
          <w:rFonts w:hint="eastAsia" w:ascii="仿宋_GB2312" w:eastAsia="仿宋_GB2312" w:hAnsiTheme="minorEastAsia"/>
          <w:sz w:val="30"/>
          <w:szCs w:val="30"/>
        </w:rPr>
        <w:t>为公立全日制中等职业教育学校，具有独立法人资格。学校主要开展全日制学历教育、非全日制学历教育和社会培训等其他类型的教育。</w:t>
      </w:r>
    </w:p>
    <w:p>
      <w:pPr>
        <w:spacing w:line="560" w:lineRule="exact"/>
        <w:ind w:firstLine="450" w:firstLineChars="150"/>
        <w:rPr>
          <w:rFonts w:ascii="仿宋_GB2312" w:eastAsia="仿宋_GB2312" w:hAnsiTheme="minorEastAsia"/>
          <w:sz w:val="30"/>
          <w:szCs w:val="30"/>
        </w:rPr>
      </w:pPr>
      <w:r>
        <w:rPr>
          <w:rFonts w:hint="eastAsia" w:ascii="仿宋_GB2312" w:eastAsia="仿宋_GB2312" w:hAnsiTheme="minorEastAsia"/>
          <w:sz w:val="30"/>
          <w:szCs w:val="30"/>
        </w:rPr>
        <w:t>学校主要</w:t>
      </w:r>
      <w:r>
        <w:rPr>
          <w:rFonts w:ascii="仿宋_GB2312" w:eastAsia="仿宋_GB2312" w:hAnsiTheme="minorEastAsia"/>
          <w:sz w:val="30"/>
          <w:szCs w:val="30"/>
        </w:rPr>
        <w:t>职责为：</w:t>
      </w:r>
    </w:p>
    <w:p>
      <w:pPr>
        <w:spacing w:line="560" w:lineRule="exact"/>
        <w:ind w:firstLine="450" w:firstLineChars="150"/>
        <w:rPr>
          <w:rFonts w:ascii="仿宋_GB2312" w:eastAsia="仿宋_GB2312" w:cs="仿宋_GB2312" w:hAnsiTheme="minorEastAsia"/>
          <w:sz w:val="30"/>
          <w:szCs w:val="30"/>
        </w:rPr>
      </w:pPr>
      <w:r>
        <w:rPr>
          <w:rFonts w:hint="eastAsia" w:ascii="仿宋_GB2312" w:eastAsia="仿宋_GB2312" w:hAnsiTheme="minorEastAsia"/>
          <w:sz w:val="30"/>
          <w:szCs w:val="30"/>
        </w:rPr>
        <w:t>（一）</w:t>
      </w:r>
      <w:r>
        <w:rPr>
          <w:rFonts w:hint="eastAsia" w:ascii="仿宋_GB2312" w:eastAsia="仿宋_GB2312" w:cs="仿宋_GB2312" w:hAnsiTheme="minorEastAsia"/>
          <w:sz w:val="30"/>
          <w:szCs w:val="30"/>
        </w:rPr>
        <w:t>执行国家有关教育法律、法规、方针、政策和上级教育行政主管部门的规定，按教育规律办学。</w:t>
      </w:r>
    </w:p>
    <w:p>
      <w:pPr>
        <w:spacing w:line="560" w:lineRule="exact"/>
        <w:ind w:firstLine="450" w:firstLineChars="150"/>
        <w:rPr>
          <w:rFonts w:ascii="仿宋_GB2312" w:eastAsia="仿宋_GB2312" w:hAnsiTheme="minorEastAsia"/>
          <w:sz w:val="30"/>
          <w:szCs w:val="30"/>
        </w:rPr>
      </w:pPr>
      <w:r>
        <w:rPr>
          <w:rFonts w:hint="eastAsia" w:ascii="仿宋_GB2312" w:eastAsia="仿宋_GB2312" w:hAnsiTheme="minorEastAsia"/>
          <w:sz w:val="30"/>
          <w:szCs w:val="30"/>
        </w:rPr>
        <w:t>（二）</w:t>
      </w:r>
      <w:r>
        <w:rPr>
          <w:rFonts w:hint="eastAsia" w:ascii="仿宋_GB2312" w:eastAsia="仿宋_GB2312" w:cs="仿宋_GB2312" w:hAnsiTheme="minorEastAsia"/>
          <w:sz w:val="30"/>
          <w:szCs w:val="30"/>
        </w:rPr>
        <w:t>组织教师学习政治和研究业务，努力建设学习型的教</w:t>
      </w:r>
      <w:r>
        <w:rPr>
          <w:rFonts w:hint="eastAsia" w:ascii="仿宋_GB2312" w:eastAsia="仿宋_GB2312" w:hAnsiTheme="minorEastAsia"/>
          <w:sz w:val="30"/>
          <w:szCs w:val="30"/>
        </w:rPr>
        <w:t>师队伍。</w:t>
      </w:r>
    </w:p>
    <w:p>
      <w:pPr>
        <w:spacing w:line="560" w:lineRule="exact"/>
        <w:ind w:firstLine="450" w:firstLineChars="150"/>
        <w:rPr>
          <w:rFonts w:ascii="仿宋_GB2312" w:eastAsia="仿宋_GB2312" w:hAnsiTheme="minorEastAsia"/>
          <w:sz w:val="30"/>
          <w:szCs w:val="30"/>
        </w:rPr>
      </w:pPr>
      <w:r>
        <w:rPr>
          <w:rFonts w:hint="eastAsia" w:ascii="仿宋_GB2312" w:eastAsia="仿宋_GB2312" w:hAnsiTheme="minorEastAsia"/>
          <w:sz w:val="30"/>
          <w:szCs w:val="30"/>
        </w:rPr>
        <w:t>（三）拟订并实施学校的发展规划，制定实施年度工作计划和学校规章制度，保证教育教学整体质量的稳步提高。</w:t>
      </w:r>
    </w:p>
    <w:p>
      <w:pPr>
        <w:spacing w:line="560" w:lineRule="exact"/>
        <w:ind w:firstLine="450" w:firstLineChars="150"/>
        <w:rPr>
          <w:rFonts w:ascii="仿宋_GB2312" w:eastAsia="仿宋_GB2312" w:hAnsiTheme="minorEastAsia"/>
          <w:sz w:val="30"/>
          <w:szCs w:val="30"/>
        </w:rPr>
      </w:pPr>
      <w:r>
        <w:rPr>
          <w:rFonts w:hint="eastAsia" w:ascii="仿宋_GB2312" w:eastAsia="仿宋_GB2312" w:hAnsiTheme="minorEastAsia"/>
          <w:sz w:val="30"/>
          <w:szCs w:val="30"/>
        </w:rPr>
        <w:t>（四）发挥学校教育的主导作用，加强学生的法制教育和安全知识教育。</w:t>
      </w:r>
    </w:p>
    <w:p>
      <w:pPr>
        <w:spacing w:line="560" w:lineRule="exact"/>
        <w:ind w:firstLine="450" w:firstLineChars="150"/>
        <w:rPr>
          <w:rFonts w:ascii="仿宋_GB2312" w:eastAsia="仿宋_GB2312" w:hAnsiTheme="minorEastAsia"/>
          <w:sz w:val="30"/>
          <w:szCs w:val="30"/>
        </w:rPr>
      </w:pPr>
      <w:r>
        <w:rPr>
          <w:rFonts w:hint="eastAsia" w:ascii="仿宋_GB2312" w:eastAsia="仿宋_GB2312" w:hAnsiTheme="minorEastAsia"/>
          <w:sz w:val="30"/>
          <w:szCs w:val="30"/>
        </w:rPr>
        <w:t>（五）依法聘任和解聘学校教师和其他工作人员，对学生进行学籍管理。</w:t>
      </w:r>
    </w:p>
    <w:p>
      <w:pPr>
        <w:spacing w:line="560" w:lineRule="exact"/>
        <w:ind w:firstLine="450" w:firstLineChars="150"/>
        <w:rPr>
          <w:rFonts w:ascii="仿宋_GB2312" w:eastAsia="仿宋_GB2312" w:hAnsiTheme="minorEastAsia"/>
          <w:sz w:val="30"/>
          <w:szCs w:val="30"/>
        </w:rPr>
      </w:pPr>
      <w:r>
        <w:rPr>
          <w:rFonts w:hint="eastAsia" w:ascii="仿宋_GB2312" w:eastAsia="仿宋_GB2312" w:hAnsiTheme="minorEastAsia"/>
          <w:sz w:val="30"/>
          <w:szCs w:val="30"/>
        </w:rPr>
        <w:t>（六）拟订和执行年度经费预算方案，保护和管理学校的财产。</w:t>
      </w:r>
    </w:p>
    <w:p>
      <w:pPr>
        <w:spacing w:line="560" w:lineRule="exact"/>
        <w:ind w:firstLine="450" w:firstLineChars="150"/>
        <w:rPr>
          <w:rFonts w:ascii="仿宋_GB2312" w:eastAsia="仿宋_GB2312" w:hAnsiTheme="minorEastAsia"/>
          <w:sz w:val="30"/>
          <w:szCs w:val="30"/>
        </w:rPr>
      </w:pPr>
      <w:r>
        <w:rPr>
          <w:rFonts w:hint="eastAsia" w:ascii="仿宋_GB2312" w:eastAsia="仿宋_GB2312" w:hAnsiTheme="minorEastAsia"/>
          <w:sz w:val="30"/>
          <w:szCs w:val="30"/>
        </w:rPr>
        <w:t>（七）逐年增加专项经费，加强校园安全隐患的排查整改，强化安全管理手段，避免学校安全生产责任事故发生。</w:t>
      </w:r>
    </w:p>
    <w:p>
      <w:pPr>
        <w:numPr>
          <w:ilvl w:val="0"/>
          <w:numId w:val="0"/>
        </w:numPr>
        <w:ind w:firstLine="640" w:firstLineChars="200"/>
        <w:rPr>
          <w:rFonts w:hint="eastAsia" w:ascii="仿宋_GB2312" w:eastAsia="仿宋_GB2312"/>
          <w:b w:val="0"/>
          <w:bCs w:val="0"/>
          <w:sz w:val="32"/>
          <w:szCs w:val="32"/>
          <w:lang w:eastAsia="zh-CN"/>
        </w:rPr>
      </w:pPr>
    </w:p>
    <w:p>
      <w:pPr>
        <w:numPr>
          <w:ilvl w:val="0"/>
          <w:numId w:val="2"/>
        </w:numPr>
        <w:ind w:left="0" w:leftChars="0" w:firstLine="646" w:firstLineChars="0"/>
        <w:rPr>
          <w:rFonts w:hint="eastAsia" w:ascii="仿宋_GB2312" w:eastAsia="仿宋_GB2312"/>
          <w:sz w:val="32"/>
          <w:szCs w:val="32"/>
        </w:rPr>
      </w:pPr>
      <w:r>
        <w:rPr>
          <w:rFonts w:hint="eastAsia" w:ascii="仿宋_GB2312" w:eastAsia="仿宋_GB2312"/>
          <w:sz w:val="32"/>
          <w:szCs w:val="32"/>
        </w:rPr>
        <w:t>部门决算单位构成</w:t>
      </w:r>
    </w:p>
    <w:p>
      <w:pPr>
        <w:numPr>
          <w:ilvl w:val="0"/>
          <w:numId w:val="0"/>
        </w:num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柳州市第一职业技术学校</w:t>
      </w:r>
    </w:p>
    <w:p>
      <w:pPr>
        <w:ind w:firstLine="645"/>
        <w:rPr>
          <w:rFonts w:ascii="仿宋_GB2312" w:eastAsia="仿宋_GB2312"/>
          <w:sz w:val="32"/>
          <w:szCs w:val="32"/>
        </w:rPr>
      </w:pPr>
    </w:p>
    <w:p>
      <w:pPr>
        <w:jc w:val="both"/>
      </w:pPr>
    </w:p>
    <w:p>
      <w:pPr>
        <w:rPr>
          <w:rFonts w:ascii="仿宋_GB2312" w:eastAsia="仿宋_GB2312"/>
          <w:b/>
          <w:sz w:val="32"/>
          <w:szCs w:val="32"/>
        </w:rPr>
      </w:pPr>
      <w:r>
        <w:rPr>
          <w:rFonts w:hint="eastAsia" w:ascii="仿宋_GB2312" w:eastAsia="仿宋_GB2312"/>
          <w:b/>
          <w:sz w:val="32"/>
          <w:szCs w:val="32"/>
        </w:rPr>
        <w:t>第二部分： 2020年部门决算报表</w:t>
      </w:r>
    </w:p>
    <w:p>
      <w:pPr>
        <w:jc w:val="center"/>
      </w:pPr>
    </w:p>
    <w:p/>
    <w:tbl>
      <w:tblPr>
        <w:tblStyle w:val="5"/>
        <w:tblW w:w="8720" w:type="dxa"/>
        <w:jc w:val="center"/>
        <w:tblLayout w:type="fixed"/>
        <w:tblCellMar>
          <w:top w:w="0" w:type="dxa"/>
          <w:left w:w="108" w:type="dxa"/>
          <w:bottom w:w="0" w:type="dxa"/>
          <w:right w:w="108" w:type="dxa"/>
        </w:tblCellMar>
      </w:tblPr>
      <w:tblGrid>
        <w:gridCol w:w="2895"/>
        <w:gridCol w:w="1343"/>
        <w:gridCol w:w="2865"/>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0"/>
                <w:szCs w:val="30"/>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4238"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48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3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8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3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13,557.50</w:t>
            </w:r>
          </w:p>
        </w:tc>
        <w:tc>
          <w:tcPr>
            <w:tcW w:w="28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3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8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3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8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14,704.27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3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727.70</w:t>
            </w:r>
          </w:p>
        </w:tc>
        <w:tc>
          <w:tcPr>
            <w:tcW w:w="28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3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8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3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8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3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92.11</w:t>
            </w:r>
          </w:p>
        </w:tc>
        <w:tc>
          <w:tcPr>
            <w:tcW w:w="286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eastAsia="zh-CN"/>
              </w:rPr>
              <w:t>十九、住房保障支出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6.61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8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3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14,377.30</w:t>
            </w:r>
          </w:p>
        </w:tc>
        <w:tc>
          <w:tcPr>
            <w:tcW w:w="286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14,710.87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3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8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3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1,846.12</w:t>
            </w:r>
          </w:p>
        </w:tc>
        <w:tc>
          <w:tcPr>
            <w:tcW w:w="28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1,512.55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8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3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16,223.42</w:t>
            </w:r>
          </w:p>
        </w:tc>
        <w:tc>
          <w:tcPr>
            <w:tcW w:w="286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16,223.42</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5"/>
        <w:tblW w:w="14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3"/>
        <w:gridCol w:w="333"/>
        <w:gridCol w:w="333"/>
        <w:gridCol w:w="2676"/>
        <w:gridCol w:w="1560"/>
        <w:gridCol w:w="1635"/>
        <w:gridCol w:w="1500"/>
        <w:gridCol w:w="1545"/>
        <w:gridCol w:w="1275"/>
        <w:gridCol w:w="145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3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6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5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5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2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4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560"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9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267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9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7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9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7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3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33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33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6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3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14,377.30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13,557.50</w:t>
            </w:r>
          </w:p>
        </w:tc>
        <w:tc>
          <w:tcPr>
            <w:tcW w:w="1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727.70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14,370.70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13,550.89</w:t>
            </w:r>
          </w:p>
        </w:tc>
        <w:tc>
          <w:tcPr>
            <w:tcW w:w="1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727.70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职业教育</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14,370.70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13,550.89</w:t>
            </w:r>
          </w:p>
        </w:tc>
        <w:tc>
          <w:tcPr>
            <w:tcW w:w="1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727.70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2050302</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中等职业教育</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13,629.86</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12,810.06</w:t>
            </w:r>
          </w:p>
        </w:tc>
        <w:tc>
          <w:tcPr>
            <w:tcW w:w="1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727.70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2050305</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高等职业教育</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2050399</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其他职业教育支出</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736.84</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736.84</w:t>
            </w:r>
          </w:p>
        </w:tc>
        <w:tc>
          <w:tcPr>
            <w:tcW w:w="1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1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1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15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
      <w:r>
        <w:rPr>
          <w:rFonts w:hint="eastAsia"/>
        </w:rPr>
        <w:t>注：本表反映部门本年度取得的各项收入情况。</w:t>
      </w:r>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41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9"/>
        <w:gridCol w:w="289"/>
        <w:gridCol w:w="289"/>
        <w:gridCol w:w="2328"/>
        <w:gridCol w:w="1800"/>
        <w:gridCol w:w="1710"/>
        <w:gridCol w:w="1782"/>
        <w:gridCol w:w="1785"/>
        <w:gridCol w:w="1365"/>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7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8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7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3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2475"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6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2328"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6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6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28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8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7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14,710.87 </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7,409.20 </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7,301.67 </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75"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2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14,704.27 </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7,402.59 </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7,301.67 </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75"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w:t>
            </w:r>
          </w:p>
        </w:tc>
        <w:tc>
          <w:tcPr>
            <w:tcW w:w="2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职业教育</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14,704.27 </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7,402.59 </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7,301.67 </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75"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2050302</w:t>
            </w:r>
          </w:p>
        </w:tc>
        <w:tc>
          <w:tcPr>
            <w:tcW w:w="2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中等职业教育</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14,052.17 </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7,362.74 </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6,689.44 </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75"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2050305</w:t>
            </w:r>
          </w:p>
        </w:tc>
        <w:tc>
          <w:tcPr>
            <w:tcW w:w="2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高等职业教育</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75"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2050399</w:t>
            </w:r>
          </w:p>
        </w:tc>
        <w:tc>
          <w:tcPr>
            <w:tcW w:w="2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其他职业教育支出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648.09 </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39.86 </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608.24 </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75"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8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6.61 </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6.61 </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75"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6.61 </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6.61 </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75"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2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6.61 </w:t>
            </w:r>
          </w:p>
        </w:tc>
        <w:tc>
          <w:tcPr>
            <w:tcW w:w="1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6.61 </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75"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
      <w:r>
        <w:rPr>
          <w:rFonts w:hint="eastAsia"/>
        </w:rPr>
        <w:t>注：本表反映部门本年度各项支出情况。</w:t>
      </w:r>
    </w:p>
    <w:p/>
    <w:p/>
    <w:p/>
    <w:p/>
    <w:p/>
    <w:p/>
    <w:p/>
    <w:p>
      <w:pPr>
        <w:ind w:firstLine="3600" w:firstLineChars="1000"/>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ind w:firstLine="2200" w:firstLineChars="1000"/>
        <w:jc w:val="right"/>
        <w:rPr>
          <w:rFonts w:hint="eastAsia" w:ascii="方正小标宋简体" w:hAnsi="宋体" w:eastAsia="方正小标宋简体" w:cs="宋体"/>
          <w:kern w:val="0"/>
          <w:sz w:val="36"/>
          <w:szCs w:val="36"/>
        </w:rPr>
      </w:pPr>
      <w:r>
        <w:rPr>
          <w:rFonts w:hint="eastAsia"/>
          <w:sz w:val="22"/>
          <w:szCs w:val="22"/>
        </w:rPr>
        <w:t>单位：万元</w:t>
      </w:r>
    </w:p>
    <w:tbl>
      <w:tblPr>
        <w:tblStyle w:val="5"/>
        <w:tblpPr w:leftFromText="180" w:rightFromText="180" w:vertAnchor="text" w:horzAnchor="page" w:tblpX="1768" w:tblpY="24"/>
        <w:tblOverlap w:val="never"/>
        <w:tblW w:w="14073" w:type="dxa"/>
        <w:tblInd w:w="0" w:type="dxa"/>
        <w:tblLayout w:type="fixed"/>
        <w:tblCellMar>
          <w:top w:w="0" w:type="dxa"/>
          <w:left w:w="108" w:type="dxa"/>
          <w:bottom w:w="0" w:type="dxa"/>
          <w:right w:w="108" w:type="dxa"/>
        </w:tblCellMar>
      </w:tblPr>
      <w:tblGrid>
        <w:gridCol w:w="4007"/>
        <w:gridCol w:w="516"/>
        <w:gridCol w:w="1524"/>
        <w:gridCol w:w="3444"/>
        <w:gridCol w:w="708"/>
        <w:gridCol w:w="1309"/>
        <w:gridCol w:w="1260"/>
        <w:gridCol w:w="1305"/>
      </w:tblGrid>
      <w:tr>
        <w:tblPrEx>
          <w:tblCellMar>
            <w:top w:w="0" w:type="dxa"/>
            <w:left w:w="108" w:type="dxa"/>
            <w:bottom w:w="0" w:type="dxa"/>
            <w:right w:w="108" w:type="dxa"/>
          </w:tblCellMar>
        </w:tblPrEx>
        <w:trPr>
          <w:trHeight w:val="300" w:hRule="atLeast"/>
        </w:trPr>
        <w:tc>
          <w:tcPr>
            <w:tcW w:w="6047"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8026"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11" w:hRule="atLeast"/>
        </w:trPr>
        <w:tc>
          <w:tcPr>
            <w:tcW w:w="4007"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52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44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30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444"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70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0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4" w:type="dxa"/>
            <w:tcBorders>
              <w:top w:val="nil"/>
              <w:left w:val="nil"/>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13,557.50</w:t>
            </w:r>
          </w:p>
        </w:tc>
        <w:tc>
          <w:tcPr>
            <w:tcW w:w="344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30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0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96" w:hRule="atLeast"/>
        </w:trPr>
        <w:tc>
          <w:tcPr>
            <w:tcW w:w="400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4" w:type="dxa"/>
            <w:tcBorders>
              <w:top w:val="nil"/>
              <w:left w:val="nil"/>
              <w:bottom w:val="single" w:color="auto" w:sz="4" w:space="0"/>
              <w:right w:val="single" w:color="auto" w:sz="4" w:space="0"/>
            </w:tcBorders>
          </w:tcPr>
          <w:p>
            <w:pPr>
              <w:widowControl/>
              <w:ind w:firstLine="440" w:firstLineChars="2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344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30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0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04" w:hRule="atLeast"/>
        </w:trPr>
        <w:tc>
          <w:tcPr>
            <w:tcW w:w="400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4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30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13,851.70</w:t>
            </w: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lang w:val="en-US" w:eastAsia="zh-CN"/>
              </w:rPr>
              <w:t>13,851.70</w:t>
            </w:r>
          </w:p>
        </w:tc>
        <w:tc>
          <w:tcPr>
            <w:tcW w:w="130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4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309"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0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52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4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309"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0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52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4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309"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0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2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4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30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0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52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4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309"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0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52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4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309"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0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52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44" w:type="dxa"/>
            <w:tcBorders>
              <w:top w:val="nil"/>
              <w:left w:val="nil"/>
              <w:bottom w:val="single" w:color="auto" w:sz="4" w:space="0"/>
              <w:right w:val="single" w:color="auto" w:sz="4" w:space="0"/>
            </w:tcBorders>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十九、住房保障支出</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30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6.61</w:t>
            </w: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lang w:val="en-US" w:eastAsia="zh-CN"/>
              </w:rPr>
              <w:t>6.61</w:t>
            </w:r>
            <w:r>
              <w:rPr>
                <w:rFonts w:hint="eastAsia" w:ascii="宋体" w:hAnsi="宋体" w:cs="Arial"/>
                <w:color w:val="000000"/>
                <w:kern w:val="0"/>
                <w:sz w:val="22"/>
                <w:szCs w:val="22"/>
              </w:rPr>
              <w:t>　</w:t>
            </w:r>
          </w:p>
        </w:tc>
        <w:tc>
          <w:tcPr>
            <w:tcW w:w="130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52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4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874"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4" w:hRule="atLeast"/>
        </w:trPr>
        <w:tc>
          <w:tcPr>
            <w:tcW w:w="4007"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524" w:type="dxa"/>
            <w:tcBorders>
              <w:top w:val="nil"/>
              <w:left w:val="nil"/>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13,557.50</w:t>
            </w:r>
          </w:p>
        </w:tc>
        <w:tc>
          <w:tcPr>
            <w:tcW w:w="344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874"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13,858.30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524" w:type="dxa"/>
            <w:tcBorders>
              <w:top w:val="nil"/>
              <w:left w:val="nil"/>
              <w:bottom w:val="single" w:color="auto" w:sz="4" w:space="0"/>
              <w:right w:val="single" w:color="auto" w:sz="4" w:space="0"/>
            </w:tcBorders>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1,070.78</w:t>
            </w:r>
          </w:p>
        </w:tc>
        <w:tc>
          <w:tcPr>
            <w:tcW w:w="344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874"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769.97</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ind w:firstLine="1320" w:firstLineChars="600"/>
              <w:jc w:val="left"/>
              <w:rPr>
                <w:rFonts w:ascii="宋体" w:hAnsi="宋体" w:cs="Arial"/>
                <w:kern w:val="0"/>
                <w:sz w:val="22"/>
                <w:szCs w:val="22"/>
              </w:rPr>
            </w:pPr>
            <w:r>
              <w:rPr>
                <w:rFonts w:hint="eastAsia" w:ascii="宋体" w:hAnsi="宋体" w:cs="Arial"/>
                <w:kern w:val="0"/>
                <w:sz w:val="22"/>
                <w:szCs w:val="22"/>
              </w:rPr>
              <w:t>一般公共预算财政拨款</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524" w:type="dxa"/>
            <w:tcBorders>
              <w:top w:val="nil"/>
              <w:left w:val="nil"/>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1,070.78</w:t>
            </w:r>
          </w:p>
        </w:tc>
        <w:tc>
          <w:tcPr>
            <w:tcW w:w="344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874"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524" w:type="dxa"/>
            <w:tcBorders>
              <w:top w:val="nil"/>
              <w:left w:val="nil"/>
              <w:bottom w:val="single" w:color="auto" w:sz="4" w:space="0"/>
              <w:right w:val="single" w:color="auto" w:sz="4" w:space="0"/>
            </w:tcBorders>
          </w:tcPr>
          <w:p>
            <w:pPr>
              <w:widowControl/>
              <w:ind w:firstLine="440" w:firstLineChars="2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344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874"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52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4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874"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07"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524" w:type="dxa"/>
            <w:tcBorders>
              <w:top w:val="nil"/>
              <w:left w:val="nil"/>
              <w:bottom w:val="single" w:color="auto" w:sz="4" w:space="0"/>
              <w:right w:val="single" w:color="auto" w:sz="4" w:space="0"/>
            </w:tcBorders>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14,628.28</w:t>
            </w:r>
          </w:p>
        </w:tc>
        <w:tc>
          <w:tcPr>
            <w:tcW w:w="344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874"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14,628.28</w:t>
            </w:r>
            <w:r>
              <w:rPr>
                <w:rFonts w:hint="eastAsia" w:ascii="宋体" w:hAnsi="宋体" w:cs="Arial"/>
                <w:color w:val="000000"/>
                <w:kern w:val="0"/>
                <w:sz w:val="22"/>
                <w:szCs w:val="22"/>
              </w:rPr>
              <w:t>　</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center"/>
        <w:rPr>
          <w:rFonts w:ascii="宋体" w:hAnsi="宋体" w:cs="宋体"/>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单位：</w:t>
      </w:r>
      <w:r>
        <w:rPr>
          <w:rFonts w:ascii="宋体" w:hAnsi="宋体" w:cs="宋体"/>
          <w:kern w:val="0"/>
          <w:sz w:val="22"/>
          <w:szCs w:val="22"/>
        </w:rPr>
        <w:t>万元</w:t>
      </w:r>
    </w:p>
    <w:tbl>
      <w:tblPr>
        <w:tblStyle w:val="5"/>
        <w:tblW w:w="129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2"/>
        <w:gridCol w:w="360"/>
        <w:gridCol w:w="900"/>
        <w:gridCol w:w="2670"/>
        <w:gridCol w:w="2715"/>
        <w:gridCol w:w="3000"/>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43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支出功能项目</w:t>
            </w:r>
          </w:p>
        </w:tc>
        <w:tc>
          <w:tcPr>
            <w:tcW w:w="27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8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2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67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7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2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7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72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7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36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90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13,858.30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7,346.92</w:t>
            </w: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2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13,851.70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7,340.32</w:t>
            </w: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w:t>
            </w:r>
          </w:p>
        </w:tc>
        <w:tc>
          <w:tcPr>
            <w:tcW w:w="2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职业教育</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13,851.70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7,340.32</w:t>
            </w: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2050302</w:t>
            </w:r>
          </w:p>
        </w:tc>
        <w:tc>
          <w:tcPr>
            <w:tcW w:w="2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中等职业教育</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13,199.60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7,300.46</w:t>
            </w: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2050305</w:t>
            </w:r>
          </w:p>
        </w:tc>
        <w:tc>
          <w:tcPr>
            <w:tcW w:w="2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高等职业教育</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2050399</w:t>
            </w:r>
          </w:p>
        </w:tc>
        <w:tc>
          <w:tcPr>
            <w:tcW w:w="2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其他职业教育支出</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648.09</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39.86</w:t>
            </w: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2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
      <w:r>
        <w:rPr>
          <w:rFonts w:hint="eastAsia"/>
        </w:rPr>
        <w:t>注：本表反映部门本年度一般公共预算财政拨款实际支出情况。</w:t>
      </w:r>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right"/>
        <w:rPr>
          <w:rFonts w:ascii="宋体" w:hAnsi="宋体" w:cs="宋体"/>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单位：万元</w:t>
      </w:r>
    </w:p>
    <w:tbl>
      <w:tblPr>
        <w:tblStyle w:val="5"/>
        <w:tblW w:w="9151" w:type="dxa"/>
        <w:tblInd w:w="93" w:type="dxa"/>
        <w:tblLayout w:type="fixed"/>
        <w:tblCellMar>
          <w:top w:w="0" w:type="dxa"/>
          <w:left w:w="108" w:type="dxa"/>
          <w:bottom w:w="0" w:type="dxa"/>
          <w:right w:w="108" w:type="dxa"/>
        </w:tblCellMar>
      </w:tblPr>
      <w:tblGrid>
        <w:gridCol w:w="1226"/>
        <w:gridCol w:w="2292"/>
        <w:gridCol w:w="1381"/>
        <w:gridCol w:w="1290"/>
        <w:gridCol w:w="1817"/>
        <w:gridCol w:w="1145"/>
      </w:tblGrid>
      <w:tr>
        <w:tblPrEx>
          <w:tblCellMar>
            <w:top w:w="0" w:type="dxa"/>
            <w:left w:w="108" w:type="dxa"/>
            <w:bottom w:w="0" w:type="dxa"/>
            <w:right w:w="108" w:type="dxa"/>
          </w:tblCellMar>
        </w:tblPrEx>
        <w:trPr>
          <w:trHeight w:val="564" w:hRule="atLeast"/>
        </w:trPr>
        <w:tc>
          <w:tcPr>
            <w:tcW w:w="48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25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122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292"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38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129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817"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4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122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bookmarkStart w:id="0" w:name="OLE_LINK1" w:colFirst="2" w:colLast="2"/>
            <w:r>
              <w:rPr>
                <w:rFonts w:hint="eastAsia" w:ascii="宋体" w:hAnsi="宋体" w:cs="Arial"/>
                <w:color w:val="000000"/>
                <w:kern w:val="0"/>
                <w:sz w:val="22"/>
                <w:szCs w:val="22"/>
              </w:rPr>
              <w:t>301</w:t>
            </w:r>
          </w:p>
        </w:tc>
        <w:tc>
          <w:tcPr>
            <w:tcW w:w="22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6,453.55</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722.68</w:t>
            </w:r>
          </w:p>
        </w:tc>
      </w:tr>
      <w:tr>
        <w:tblPrEx>
          <w:tblCellMar>
            <w:top w:w="0" w:type="dxa"/>
            <w:left w:w="108" w:type="dxa"/>
            <w:bottom w:w="0" w:type="dxa"/>
            <w:right w:w="108" w:type="dxa"/>
          </w:tblCellMar>
        </w:tblPrEx>
        <w:trPr>
          <w:trHeight w:val="264"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22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381"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1,774.05</w:t>
            </w:r>
          </w:p>
        </w:tc>
        <w:tc>
          <w:tcPr>
            <w:tcW w:w="129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817"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3.20</w:t>
            </w:r>
          </w:p>
        </w:tc>
      </w:tr>
      <w:tr>
        <w:tblPrEx>
          <w:tblCellMar>
            <w:top w:w="0" w:type="dxa"/>
            <w:left w:w="108" w:type="dxa"/>
            <w:bottom w:w="0" w:type="dxa"/>
            <w:right w:w="108" w:type="dxa"/>
          </w:tblCellMar>
        </w:tblPrEx>
        <w:trPr>
          <w:trHeight w:val="264"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22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381"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89.28</w:t>
            </w:r>
          </w:p>
        </w:tc>
        <w:tc>
          <w:tcPr>
            <w:tcW w:w="129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817"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14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22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17.63</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0.30</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229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伙食补助费</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7.33</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0.03</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229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绩效工资</w:t>
            </w:r>
          </w:p>
        </w:tc>
        <w:tc>
          <w:tcPr>
            <w:tcW w:w="1381"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2,387.35</w:t>
            </w:r>
          </w:p>
        </w:tc>
        <w:tc>
          <w:tcPr>
            <w:tcW w:w="129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817"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108.66</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229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机关事业单位基本养老保险缴费</w:t>
            </w:r>
          </w:p>
        </w:tc>
        <w:tc>
          <w:tcPr>
            <w:tcW w:w="1381"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640.31</w:t>
            </w:r>
          </w:p>
        </w:tc>
        <w:tc>
          <w:tcPr>
            <w:tcW w:w="129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817"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173.26</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229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职业年金缴费</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280.60</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35.06</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229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职工基本医疗保险缴费</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258.05</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145"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229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公务员医疗补助缴费</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435.74</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145"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134.60</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229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其他社会保障缴费</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24.59</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30310</w:t>
            </w:r>
          </w:p>
        </w:tc>
        <w:tc>
          <w:tcPr>
            <w:tcW w:w="181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差旅费</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1.78</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229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住房公积金</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530.55</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30311</w:t>
            </w:r>
          </w:p>
        </w:tc>
        <w:tc>
          <w:tcPr>
            <w:tcW w:w="181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因公出国出（境）费用</w:t>
            </w:r>
          </w:p>
        </w:tc>
        <w:tc>
          <w:tcPr>
            <w:tcW w:w="114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229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医疗费</w:t>
            </w:r>
          </w:p>
        </w:tc>
        <w:tc>
          <w:tcPr>
            <w:tcW w:w="1381"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30312</w:t>
            </w:r>
          </w:p>
        </w:tc>
        <w:tc>
          <w:tcPr>
            <w:tcW w:w="181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维修（护）费</w:t>
            </w:r>
          </w:p>
        </w:tc>
        <w:tc>
          <w:tcPr>
            <w:tcW w:w="1145"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34.00</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229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其他工资福利支出</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8.05</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30313</w:t>
            </w:r>
          </w:p>
        </w:tc>
        <w:tc>
          <w:tcPr>
            <w:tcW w:w="181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ascii="宋体" w:hAnsi="宋体" w:cs="Arial"/>
                <w:color w:val="000000"/>
                <w:kern w:val="0"/>
                <w:sz w:val="22"/>
                <w:szCs w:val="22"/>
              </w:rPr>
              <w:t>　</w:t>
            </w:r>
            <w:r>
              <w:rPr>
                <w:rFonts w:hint="eastAsia" w:ascii="宋体" w:hAnsi="宋体" w:cs="Arial"/>
                <w:color w:val="000000"/>
                <w:kern w:val="0"/>
                <w:sz w:val="22"/>
                <w:szCs w:val="22"/>
                <w:lang w:eastAsia="zh-CN"/>
              </w:rPr>
              <w:t>培训费</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0.32</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auto"/>
                <w:kern w:val="0"/>
                <w:sz w:val="22"/>
                <w:szCs w:val="22"/>
                <w:highlight w:val="none"/>
                <w:lang w:val="en-US" w:eastAsia="zh-CN"/>
              </w:rPr>
            </w:pPr>
            <w:r>
              <w:rPr>
                <w:rFonts w:hint="eastAsia" w:ascii="宋体" w:hAnsi="宋体" w:cs="Arial"/>
                <w:color w:val="auto"/>
                <w:kern w:val="0"/>
                <w:sz w:val="22"/>
                <w:szCs w:val="22"/>
                <w:highlight w:val="none"/>
              </w:rPr>
              <w:t xml:space="preserve"> </w:t>
            </w:r>
            <w:r>
              <w:rPr>
                <w:rFonts w:hint="eastAsia" w:ascii="宋体" w:hAnsi="宋体" w:cs="Arial"/>
                <w:color w:val="auto"/>
                <w:kern w:val="0"/>
                <w:sz w:val="22"/>
                <w:szCs w:val="22"/>
                <w:highlight w:val="none"/>
                <w:lang w:val="en-US" w:eastAsia="zh-CN"/>
              </w:rPr>
              <w:t>303</w:t>
            </w:r>
          </w:p>
        </w:tc>
        <w:tc>
          <w:tcPr>
            <w:tcW w:w="2292"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highlight w:val="none"/>
              </w:rPr>
            </w:pPr>
            <w:r>
              <w:rPr>
                <w:rFonts w:ascii="宋体" w:hAnsi="宋体" w:cs="Arial"/>
                <w:color w:val="auto"/>
                <w:kern w:val="0"/>
                <w:sz w:val="22"/>
                <w:szCs w:val="22"/>
                <w:highlight w:val="none"/>
              </w:rPr>
              <w:t>　</w:t>
            </w:r>
            <w:r>
              <w:rPr>
                <w:rFonts w:hint="eastAsia" w:ascii="宋体" w:hAnsi="宋体" w:cs="Arial"/>
                <w:color w:val="auto"/>
                <w:kern w:val="0"/>
                <w:sz w:val="22"/>
                <w:szCs w:val="22"/>
                <w:highlight w:val="none"/>
              </w:rPr>
              <w:t xml:space="preserve"> 对个人和家庭的补助</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141.70</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30314</w:t>
            </w:r>
          </w:p>
        </w:tc>
        <w:tc>
          <w:tcPr>
            <w:tcW w:w="181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auto"/>
                <w:kern w:val="0"/>
                <w:sz w:val="22"/>
                <w:szCs w:val="22"/>
                <w:lang w:eastAsia="zh-CN"/>
              </w:rPr>
            </w:pPr>
            <w:r>
              <w:rPr>
                <w:rFonts w:hint="eastAsia" w:ascii="宋体" w:hAnsi="宋体" w:cs="Arial"/>
                <w:color w:val="auto"/>
                <w:kern w:val="0"/>
                <w:sz w:val="22"/>
                <w:szCs w:val="22"/>
                <w:lang w:eastAsia="zh-CN"/>
              </w:rPr>
              <w:t>公务接待费</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auto"/>
                <w:kern w:val="0"/>
                <w:sz w:val="22"/>
                <w:szCs w:val="22"/>
                <w:lang w:val="en-US" w:eastAsia="zh-CN"/>
              </w:rPr>
            </w:pPr>
            <w:r>
              <w:rPr>
                <w:rFonts w:ascii="宋体" w:hAnsi="宋体" w:cs="Arial"/>
                <w:color w:val="auto"/>
                <w:kern w:val="0"/>
                <w:sz w:val="22"/>
                <w:szCs w:val="22"/>
              </w:rPr>
              <w:t>　</w:t>
            </w:r>
            <w:r>
              <w:rPr>
                <w:rFonts w:hint="eastAsia" w:ascii="宋体" w:hAnsi="宋体" w:cs="Arial"/>
                <w:color w:val="auto"/>
                <w:kern w:val="0"/>
                <w:sz w:val="22"/>
                <w:szCs w:val="22"/>
                <w:lang w:val="en-US" w:eastAsia="zh-CN"/>
              </w:rPr>
              <w:t>0.61</w:t>
            </w:r>
          </w:p>
        </w:tc>
      </w:tr>
      <w:tr>
        <w:tblPrEx>
          <w:tblCellMar>
            <w:top w:w="0" w:type="dxa"/>
            <w:left w:w="108" w:type="dxa"/>
            <w:bottom w:w="0" w:type="dxa"/>
            <w:right w:w="108" w:type="dxa"/>
          </w:tblCellMar>
        </w:tblPrEx>
        <w:trPr>
          <w:trHeight w:val="336" w:hRule="atLeast"/>
        </w:trPr>
        <w:tc>
          <w:tcPr>
            <w:tcW w:w="1226"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Arial"/>
                <w:color w:val="auto"/>
                <w:kern w:val="0"/>
                <w:sz w:val="22"/>
                <w:szCs w:val="22"/>
                <w:highlight w:val="none"/>
                <w:lang w:val="en-US" w:eastAsia="zh-CN"/>
              </w:rPr>
            </w:pPr>
            <w:r>
              <w:rPr>
                <w:rFonts w:hint="eastAsia" w:ascii="宋体" w:hAnsi="宋体" w:cs="Arial"/>
                <w:color w:val="auto"/>
                <w:kern w:val="0"/>
                <w:sz w:val="22"/>
                <w:szCs w:val="22"/>
                <w:highlight w:val="none"/>
                <w:lang w:val="en-US" w:eastAsia="zh-CN"/>
              </w:rPr>
              <w:t>30301</w:t>
            </w:r>
          </w:p>
        </w:tc>
        <w:tc>
          <w:tcPr>
            <w:tcW w:w="2292"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auto"/>
                <w:kern w:val="0"/>
                <w:sz w:val="22"/>
                <w:szCs w:val="22"/>
                <w:highlight w:val="none"/>
                <w:lang w:val="en-US" w:eastAsia="zh-CN"/>
              </w:rPr>
            </w:pPr>
            <w:r>
              <w:rPr>
                <w:rFonts w:hint="eastAsia" w:ascii="宋体" w:hAnsi="宋体" w:cs="Arial"/>
                <w:color w:val="auto"/>
                <w:kern w:val="0"/>
                <w:sz w:val="22"/>
                <w:szCs w:val="22"/>
                <w:highlight w:val="none"/>
                <w:lang w:val="en-US" w:eastAsia="zh-CN"/>
              </w:rPr>
              <w:t xml:space="preserve">       退休费</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133.80</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30315</w:t>
            </w:r>
          </w:p>
        </w:tc>
        <w:tc>
          <w:tcPr>
            <w:tcW w:w="181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auto"/>
                <w:kern w:val="0"/>
                <w:sz w:val="22"/>
                <w:szCs w:val="22"/>
                <w:lang w:eastAsia="zh-CN"/>
              </w:rPr>
            </w:pPr>
            <w:r>
              <w:rPr>
                <w:rFonts w:hint="eastAsia" w:ascii="宋体" w:hAnsi="宋体" w:cs="Arial"/>
                <w:color w:val="auto"/>
                <w:kern w:val="0"/>
                <w:sz w:val="22"/>
                <w:szCs w:val="22"/>
                <w:lang w:eastAsia="zh-CN"/>
              </w:rPr>
              <w:t>专用材料费</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11.21</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Arial"/>
                <w:color w:val="auto"/>
                <w:kern w:val="0"/>
                <w:sz w:val="22"/>
                <w:szCs w:val="22"/>
                <w:highlight w:val="none"/>
                <w:lang w:val="en-US" w:eastAsia="zh-CN"/>
              </w:rPr>
            </w:pPr>
            <w:r>
              <w:rPr>
                <w:rFonts w:hint="eastAsia" w:ascii="宋体" w:hAnsi="宋体" w:cs="Arial"/>
                <w:color w:val="auto"/>
                <w:kern w:val="0"/>
                <w:sz w:val="22"/>
                <w:szCs w:val="22"/>
                <w:highlight w:val="none"/>
                <w:lang w:val="en-US" w:eastAsia="zh-CN"/>
              </w:rPr>
              <w:t>30302</w:t>
            </w:r>
          </w:p>
        </w:tc>
        <w:tc>
          <w:tcPr>
            <w:tcW w:w="2292"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auto"/>
                <w:kern w:val="0"/>
                <w:sz w:val="22"/>
                <w:szCs w:val="22"/>
                <w:highlight w:val="none"/>
                <w:lang w:val="en-US" w:eastAsia="zh-CN"/>
              </w:rPr>
            </w:pPr>
            <w:r>
              <w:rPr>
                <w:rFonts w:hint="eastAsia" w:ascii="宋体" w:hAnsi="宋体" w:cs="Arial"/>
                <w:color w:val="auto"/>
                <w:kern w:val="0"/>
                <w:sz w:val="22"/>
                <w:szCs w:val="22"/>
                <w:highlight w:val="none"/>
                <w:lang w:val="en-US" w:eastAsia="zh-CN"/>
              </w:rPr>
              <w:t xml:space="preserve">       助学金 </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1.30</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30316</w:t>
            </w:r>
          </w:p>
        </w:tc>
        <w:tc>
          <w:tcPr>
            <w:tcW w:w="181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auto"/>
                <w:kern w:val="0"/>
                <w:sz w:val="22"/>
                <w:szCs w:val="22"/>
                <w:lang w:eastAsia="zh-CN"/>
              </w:rPr>
            </w:pPr>
            <w:r>
              <w:rPr>
                <w:rFonts w:hint="eastAsia" w:ascii="宋体" w:hAnsi="宋体" w:cs="Arial"/>
                <w:color w:val="auto"/>
                <w:kern w:val="0"/>
                <w:sz w:val="22"/>
                <w:szCs w:val="22"/>
                <w:lang w:eastAsia="zh-CN"/>
              </w:rPr>
              <w:t>劳务费</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3.34</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Arial"/>
                <w:color w:val="auto"/>
                <w:kern w:val="0"/>
                <w:sz w:val="22"/>
                <w:szCs w:val="22"/>
                <w:highlight w:val="none"/>
                <w:lang w:val="en-US" w:eastAsia="zh-CN"/>
              </w:rPr>
            </w:pPr>
            <w:r>
              <w:rPr>
                <w:rFonts w:hint="eastAsia" w:ascii="宋体" w:hAnsi="宋体" w:cs="Arial"/>
                <w:color w:val="auto"/>
                <w:kern w:val="0"/>
                <w:sz w:val="22"/>
                <w:szCs w:val="22"/>
                <w:highlight w:val="none"/>
                <w:lang w:val="en-US" w:eastAsia="zh-CN"/>
              </w:rPr>
              <w:t>30303</w:t>
            </w:r>
          </w:p>
        </w:tc>
        <w:tc>
          <w:tcPr>
            <w:tcW w:w="2292"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auto"/>
                <w:kern w:val="0"/>
                <w:sz w:val="22"/>
                <w:szCs w:val="22"/>
                <w:highlight w:val="none"/>
                <w:lang w:val="en-US" w:eastAsia="zh-CN"/>
              </w:rPr>
            </w:pPr>
            <w:r>
              <w:rPr>
                <w:rFonts w:hint="eastAsia" w:ascii="宋体" w:hAnsi="宋体" w:cs="Arial"/>
                <w:color w:val="auto"/>
                <w:kern w:val="0"/>
                <w:sz w:val="22"/>
                <w:szCs w:val="22"/>
                <w:highlight w:val="none"/>
                <w:lang w:val="en-US" w:eastAsia="zh-CN"/>
              </w:rPr>
              <w:t xml:space="preserve">       奖学金 </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3.45</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30317</w:t>
            </w:r>
          </w:p>
        </w:tc>
        <w:tc>
          <w:tcPr>
            <w:tcW w:w="181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auto"/>
                <w:kern w:val="0"/>
                <w:sz w:val="22"/>
                <w:szCs w:val="22"/>
                <w:lang w:eastAsia="zh-CN"/>
              </w:rPr>
            </w:pPr>
            <w:r>
              <w:rPr>
                <w:rFonts w:hint="eastAsia" w:ascii="宋体" w:hAnsi="宋体" w:cs="Arial"/>
                <w:color w:val="auto"/>
                <w:kern w:val="0"/>
                <w:sz w:val="22"/>
                <w:szCs w:val="22"/>
                <w:lang w:eastAsia="zh-CN"/>
              </w:rPr>
              <w:t>工会经费</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104.24</w:t>
            </w:r>
          </w:p>
        </w:tc>
      </w:tr>
      <w:tr>
        <w:tblPrEx>
          <w:tblCellMar>
            <w:top w:w="0" w:type="dxa"/>
            <w:left w:w="108" w:type="dxa"/>
            <w:bottom w:w="0" w:type="dxa"/>
            <w:right w:w="108" w:type="dxa"/>
          </w:tblCellMar>
        </w:tblPrEx>
        <w:trPr>
          <w:trHeight w:val="528" w:hRule="atLeast"/>
        </w:trPr>
        <w:tc>
          <w:tcPr>
            <w:tcW w:w="1226"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Arial"/>
                <w:color w:val="auto"/>
                <w:kern w:val="0"/>
                <w:sz w:val="22"/>
                <w:szCs w:val="22"/>
                <w:highlight w:val="none"/>
                <w:lang w:val="en-US" w:eastAsia="zh-CN"/>
              </w:rPr>
            </w:pPr>
            <w:r>
              <w:rPr>
                <w:rFonts w:hint="eastAsia" w:ascii="宋体" w:hAnsi="宋体" w:cs="Arial"/>
                <w:color w:val="auto"/>
                <w:kern w:val="0"/>
                <w:sz w:val="22"/>
                <w:szCs w:val="22"/>
                <w:highlight w:val="none"/>
                <w:lang w:val="en-US" w:eastAsia="zh-CN"/>
              </w:rPr>
              <w:t>30399</w:t>
            </w:r>
          </w:p>
        </w:tc>
        <w:tc>
          <w:tcPr>
            <w:tcW w:w="2292" w:type="dxa"/>
            <w:tcBorders>
              <w:top w:val="nil"/>
              <w:left w:val="nil"/>
              <w:bottom w:val="single" w:color="auto" w:sz="4" w:space="0"/>
              <w:right w:val="single" w:color="auto" w:sz="4" w:space="0"/>
            </w:tcBorders>
            <w:vAlign w:val="bottom"/>
          </w:tcPr>
          <w:p>
            <w:pPr>
              <w:widowControl/>
              <w:ind w:firstLine="660" w:firstLineChars="300"/>
              <w:jc w:val="left"/>
              <w:rPr>
                <w:rFonts w:hint="default" w:ascii="宋体" w:hAnsi="宋体" w:eastAsia="宋体" w:cs="Arial"/>
                <w:color w:val="auto"/>
                <w:kern w:val="0"/>
                <w:sz w:val="22"/>
                <w:szCs w:val="22"/>
                <w:highlight w:val="none"/>
                <w:lang w:val="en-US" w:eastAsia="zh-CN"/>
              </w:rPr>
            </w:pPr>
            <w:r>
              <w:rPr>
                <w:rFonts w:hint="eastAsia" w:ascii="宋体" w:hAnsi="宋体" w:cs="Arial"/>
                <w:color w:val="auto"/>
                <w:kern w:val="0"/>
                <w:sz w:val="22"/>
                <w:szCs w:val="22"/>
                <w:highlight w:val="none"/>
                <w:lang w:val="en-US" w:eastAsia="zh-CN"/>
              </w:rPr>
              <w:t>其他对个人和家庭的补助</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3.15</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30318</w:t>
            </w:r>
          </w:p>
        </w:tc>
        <w:tc>
          <w:tcPr>
            <w:tcW w:w="181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auto"/>
                <w:kern w:val="0"/>
                <w:sz w:val="22"/>
                <w:szCs w:val="22"/>
                <w:lang w:eastAsia="zh-CN"/>
              </w:rPr>
            </w:pPr>
            <w:r>
              <w:rPr>
                <w:rFonts w:hint="eastAsia" w:ascii="宋体" w:hAnsi="宋体" w:cs="Arial"/>
                <w:color w:val="auto"/>
                <w:kern w:val="0"/>
                <w:sz w:val="22"/>
                <w:szCs w:val="22"/>
                <w:lang w:eastAsia="zh-CN"/>
              </w:rPr>
              <w:t>福利费</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0.09</w:t>
            </w:r>
          </w:p>
        </w:tc>
      </w:tr>
      <w:bookmarkEnd w:id="0"/>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70C0"/>
                <w:kern w:val="0"/>
                <w:sz w:val="22"/>
                <w:szCs w:val="22"/>
                <w:highlight w:val="yellow"/>
              </w:rPr>
            </w:pPr>
          </w:p>
        </w:tc>
        <w:tc>
          <w:tcPr>
            <w:tcW w:w="2292" w:type="dxa"/>
            <w:tcBorders>
              <w:top w:val="nil"/>
              <w:left w:val="nil"/>
              <w:bottom w:val="single" w:color="auto" w:sz="4" w:space="0"/>
              <w:right w:val="single" w:color="auto" w:sz="4" w:space="0"/>
            </w:tcBorders>
            <w:vAlign w:val="bottom"/>
          </w:tcPr>
          <w:p>
            <w:pPr>
              <w:widowControl/>
              <w:jc w:val="left"/>
              <w:rPr>
                <w:rFonts w:ascii="宋体" w:hAnsi="宋体" w:cs="Arial"/>
                <w:color w:val="0070C0"/>
                <w:kern w:val="0"/>
                <w:sz w:val="22"/>
                <w:szCs w:val="22"/>
                <w:highlight w:val="yellow"/>
              </w:rPr>
            </w:pPr>
          </w:p>
        </w:tc>
        <w:tc>
          <w:tcPr>
            <w:tcW w:w="13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cs="Arial"/>
                <w:color w:val="auto"/>
                <w:kern w:val="0"/>
                <w:sz w:val="22"/>
                <w:szCs w:val="22"/>
                <w:lang w:val="en-US" w:eastAsia="zh-CN"/>
              </w:rPr>
            </w:pPr>
            <w:r>
              <w:rPr>
                <w:rFonts w:hint="eastAsia" w:ascii="宋体" w:hAnsi="宋体" w:cs="Arial"/>
                <w:color w:val="auto"/>
                <w:kern w:val="0"/>
                <w:sz w:val="22"/>
                <w:szCs w:val="22"/>
                <w:lang w:val="en-US" w:eastAsia="zh-CN"/>
              </w:rPr>
              <w:t>30319</w:t>
            </w:r>
          </w:p>
        </w:tc>
        <w:tc>
          <w:tcPr>
            <w:tcW w:w="1817" w:type="dxa"/>
            <w:tcBorders>
              <w:top w:val="nil"/>
              <w:left w:val="nil"/>
              <w:bottom w:val="single" w:color="auto" w:sz="4" w:space="0"/>
              <w:right w:val="single" w:color="auto" w:sz="4" w:space="0"/>
            </w:tcBorders>
            <w:vAlign w:val="bottom"/>
          </w:tcPr>
          <w:p>
            <w:pPr>
              <w:widowControl/>
              <w:jc w:val="left"/>
              <w:rPr>
                <w:rFonts w:hint="eastAsia" w:ascii="宋体" w:hAnsi="宋体" w:cs="Arial"/>
                <w:color w:val="auto"/>
                <w:kern w:val="0"/>
                <w:sz w:val="22"/>
                <w:szCs w:val="22"/>
                <w:lang w:eastAsia="zh-CN"/>
              </w:rPr>
            </w:pPr>
            <w:r>
              <w:rPr>
                <w:rFonts w:hint="eastAsia" w:ascii="宋体" w:hAnsi="宋体" w:cs="Arial"/>
                <w:color w:val="auto"/>
                <w:kern w:val="0"/>
                <w:sz w:val="22"/>
                <w:szCs w:val="22"/>
                <w:lang w:eastAsia="zh-CN"/>
              </w:rPr>
              <w:t>公务用车运行维护费</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cs="Arial"/>
                <w:color w:val="auto"/>
                <w:kern w:val="0"/>
                <w:sz w:val="22"/>
                <w:szCs w:val="22"/>
                <w:lang w:val="en-US" w:eastAsia="zh-CN"/>
              </w:rPr>
            </w:pPr>
            <w:r>
              <w:rPr>
                <w:rFonts w:hint="eastAsia" w:ascii="宋体" w:hAnsi="宋体" w:cs="Arial"/>
                <w:color w:val="auto"/>
                <w:kern w:val="0"/>
                <w:sz w:val="22"/>
                <w:szCs w:val="22"/>
                <w:lang w:val="en-US" w:eastAsia="zh-CN"/>
              </w:rPr>
              <w:t>3.99</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70C0"/>
                <w:kern w:val="0"/>
                <w:sz w:val="22"/>
                <w:szCs w:val="22"/>
                <w:highlight w:val="yellow"/>
              </w:rPr>
            </w:pPr>
          </w:p>
        </w:tc>
        <w:tc>
          <w:tcPr>
            <w:tcW w:w="2292" w:type="dxa"/>
            <w:tcBorders>
              <w:top w:val="nil"/>
              <w:left w:val="nil"/>
              <w:bottom w:val="single" w:color="auto" w:sz="4" w:space="0"/>
              <w:right w:val="single" w:color="auto" w:sz="4" w:space="0"/>
            </w:tcBorders>
            <w:vAlign w:val="bottom"/>
          </w:tcPr>
          <w:p>
            <w:pPr>
              <w:widowControl/>
              <w:jc w:val="left"/>
              <w:rPr>
                <w:rFonts w:ascii="宋体" w:hAnsi="宋体" w:cs="Arial"/>
                <w:color w:val="0070C0"/>
                <w:kern w:val="0"/>
                <w:sz w:val="22"/>
                <w:szCs w:val="22"/>
                <w:highlight w:val="yellow"/>
              </w:rPr>
            </w:pPr>
          </w:p>
        </w:tc>
        <w:tc>
          <w:tcPr>
            <w:tcW w:w="13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cs="Arial"/>
                <w:color w:val="auto"/>
                <w:kern w:val="0"/>
                <w:sz w:val="22"/>
                <w:szCs w:val="22"/>
                <w:lang w:val="en-US" w:eastAsia="zh-CN"/>
              </w:rPr>
            </w:pPr>
            <w:r>
              <w:rPr>
                <w:rFonts w:hint="eastAsia" w:ascii="宋体" w:hAnsi="宋体" w:cs="Arial"/>
                <w:color w:val="auto"/>
                <w:kern w:val="0"/>
                <w:sz w:val="22"/>
                <w:szCs w:val="22"/>
                <w:lang w:val="en-US" w:eastAsia="zh-CN"/>
              </w:rPr>
              <w:t>30320</w:t>
            </w:r>
          </w:p>
        </w:tc>
        <w:tc>
          <w:tcPr>
            <w:tcW w:w="1817" w:type="dxa"/>
            <w:tcBorders>
              <w:top w:val="nil"/>
              <w:left w:val="nil"/>
              <w:bottom w:val="single" w:color="auto" w:sz="4" w:space="0"/>
              <w:right w:val="single" w:color="auto" w:sz="4" w:space="0"/>
            </w:tcBorders>
            <w:vAlign w:val="bottom"/>
          </w:tcPr>
          <w:p>
            <w:pPr>
              <w:widowControl/>
              <w:jc w:val="left"/>
              <w:rPr>
                <w:rFonts w:hint="eastAsia" w:ascii="宋体" w:hAnsi="宋体" w:cs="Arial"/>
                <w:color w:val="auto"/>
                <w:kern w:val="0"/>
                <w:sz w:val="22"/>
                <w:szCs w:val="22"/>
                <w:lang w:eastAsia="zh-CN"/>
              </w:rPr>
            </w:pPr>
            <w:r>
              <w:rPr>
                <w:rFonts w:hint="eastAsia" w:ascii="宋体" w:hAnsi="宋体" w:cs="Arial"/>
                <w:color w:val="auto"/>
                <w:kern w:val="0"/>
                <w:sz w:val="22"/>
                <w:szCs w:val="22"/>
                <w:lang w:eastAsia="zh-CN"/>
              </w:rPr>
              <w:t>其他交通费用</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cs="Arial"/>
                <w:color w:val="auto"/>
                <w:kern w:val="0"/>
                <w:sz w:val="22"/>
                <w:szCs w:val="22"/>
                <w:lang w:val="en-US" w:eastAsia="zh-CN"/>
              </w:rPr>
            </w:pPr>
            <w:r>
              <w:rPr>
                <w:rFonts w:hint="eastAsia" w:ascii="宋体" w:hAnsi="宋体" w:cs="Arial"/>
                <w:color w:val="auto"/>
                <w:kern w:val="0"/>
                <w:sz w:val="22"/>
                <w:szCs w:val="22"/>
                <w:lang w:val="en-US" w:eastAsia="zh-CN"/>
              </w:rPr>
              <w:t>17.11</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70C0"/>
                <w:kern w:val="0"/>
                <w:sz w:val="22"/>
                <w:szCs w:val="22"/>
                <w:highlight w:val="yellow"/>
              </w:rPr>
            </w:pPr>
          </w:p>
        </w:tc>
        <w:tc>
          <w:tcPr>
            <w:tcW w:w="2292" w:type="dxa"/>
            <w:tcBorders>
              <w:top w:val="nil"/>
              <w:left w:val="nil"/>
              <w:bottom w:val="single" w:color="auto" w:sz="4" w:space="0"/>
              <w:right w:val="single" w:color="auto" w:sz="4" w:space="0"/>
            </w:tcBorders>
            <w:vAlign w:val="bottom"/>
          </w:tcPr>
          <w:p>
            <w:pPr>
              <w:widowControl/>
              <w:jc w:val="left"/>
              <w:rPr>
                <w:rFonts w:ascii="宋体" w:hAnsi="宋体" w:cs="Arial"/>
                <w:color w:val="0070C0"/>
                <w:kern w:val="0"/>
                <w:sz w:val="22"/>
                <w:szCs w:val="22"/>
                <w:highlight w:val="yellow"/>
              </w:rPr>
            </w:pPr>
          </w:p>
        </w:tc>
        <w:tc>
          <w:tcPr>
            <w:tcW w:w="13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cs="Arial"/>
                <w:color w:val="auto"/>
                <w:kern w:val="0"/>
                <w:sz w:val="22"/>
                <w:szCs w:val="22"/>
                <w:lang w:val="en-US" w:eastAsia="zh-CN"/>
              </w:rPr>
            </w:pPr>
            <w:r>
              <w:rPr>
                <w:rFonts w:hint="eastAsia" w:ascii="宋体" w:hAnsi="宋体" w:cs="Arial"/>
                <w:color w:val="auto"/>
                <w:kern w:val="0"/>
                <w:sz w:val="22"/>
                <w:szCs w:val="22"/>
                <w:lang w:val="en-US" w:eastAsia="zh-CN"/>
              </w:rPr>
              <w:t>30399</w:t>
            </w:r>
          </w:p>
        </w:tc>
        <w:tc>
          <w:tcPr>
            <w:tcW w:w="1817" w:type="dxa"/>
            <w:tcBorders>
              <w:top w:val="nil"/>
              <w:left w:val="nil"/>
              <w:bottom w:val="single" w:color="auto" w:sz="4" w:space="0"/>
              <w:right w:val="single" w:color="auto" w:sz="4" w:space="0"/>
            </w:tcBorders>
            <w:vAlign w:val="bottom"/>
          </w:tcPr>
          <w:p>
            <w:pPr>
              <w:widowControl/>
              <w:jc w:val="left"/>
              <w:rPr>
                <w:rFonts w:hint="eastAsia" w:ascii="宋体" w:hAnsi="宋体" w:cs="Arial"/>
                <w:color w:val="auto"/>
                <w:kern w:val="0"/>
                <w:sz w:val="22"/>
                <w:szCs w:val="22"/>
                <w:lang w:eastAsia="zh-CN"/>
              </w:rPr>
            </w:pPr>
            <w:r>
              <w:rPr>
                <w:rFonts w:hint="eastAsia" w:ascii="宋体" w:hAnsi="宋体" w:cs="Arial"/>
                <w:color w:val="auto"/>
                <w:kern w:val="0"/>
                <w:sz w:val="22"/>
                <w:szCs w:val="22"/>
                <w:lang w:eastAsia="zh-CN"/>
              </w:rPr>
              <w:t>其他商品和服务支出</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cs="Arial"/>
                <w:color w:val="auto"/>
                <w:kern w:val="0"/>
                <w:sz w:val="22"/>
                <w:szCs w:val="22"/>
                <w:lang w:val="en-US" w:eastAsia="zh-CN"/>
              </w:rPr>
            </w:pPr>
            <w:r>
              <w:rPr>
                <w:rFonts w:hint="eastAsia" w:ascii="宋体" w:hAnsi="宋体" w:cs="Arial"/>
                <w:color w:val="auto"/>
                <w:kern w:val="0"/>
                <w:sz w:val="22"/>
                <w:szCs w:val="22"/>
                <w:lang w:val="en-US" w:eastAsia="zh-CN"/>
              </w:rPr>
              <w:t>90.87</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2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3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14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2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3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114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29.00</w:t>
            </w:r>
          </w:p>
        </w:tc>
      </w:tr>
      <w:tr>
        <w:tblPrEx>
          <w:tblCellMar>
            <w:top w:w="0" w:type="dxa"/>
            <w:left w:w="108" w:type="dxa"/>
            <w:bottom w:w="0" w:type="dxa"/>
            <w:right w:w="108" w:type="dxa"/>
          </w:tblCellMar>
        </w:tblPrEx>
        <w:trPr>
          <w:trHeight w:val="276" w:hRule="atLeast"/>
        </w:trPr>
        <w:tc>
          <w:tcPr>
            <w:tcW w:w="122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2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3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14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264" w:hRule="atLeast"/>
        </w:trPr>
        <w:tc>
          <w:tcPr>
            <w:tcW w:w="351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381"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6,595.24</w:t>
            </w:r>
          </w:p>
        </w:tc>
        <w:tc>
          <w:tcPr>
            <w:tcW w:w="310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14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751.68</w:t>
            </w:r>
            <w:r>
              <w:rPr>
                <w:rFonts w:ascii="宋体" w:hAnsi="宋体" w:cs="Arial"/>
                <w:color w:val="000000"/>
                <w:kern w:val="0"/>
                <w:sz w:val="22"/>
                <w:szCs w:val="22"/>
              </w:rPr>
              <w:t>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411"/>
        <w:gridCol w:w="1224"/>
        <w:gridCol w:w="1200"/>
        <w:gridCol w:w="1332"/>
        <w:gridCol w:w="964"/>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411"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75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964"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11"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22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0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964"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1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2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33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96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65.00</w:t>
            </w:r>
          </w:p>
        </w:tc>
        <w:tc>
          <w:tcPr>
            <w:tcW w:w="1411" w:type="dxa"/>
            <w:tcBorders>
              <w:top w:val="nil"/>
              <w:left w:val="nil"/>
              <w:bottom w:val="single" w:color="auto" w:sz="4" w:space="0"/>
              <w:right w:val="single" w:color="auto" w:sz="4" w:space="0"/>
            </w:tcBorders>
          </w:tcPr>
          <w:p>
            <w:pPr>
              <w:widowControl/>
              <w:ind w:firstLine="200" w:firstLineChars="100"/>
              <w:jc w:val="lef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40.00</w:t>
            </w:r>
          </w:p>
        </w:tc>
        <w:tc>
          <w:tcPr>
            <w:tcW w:w="1224"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lang w:val="en-US" w:eastAsia="zh-CN"/>
              </w:rPr>
              <w:t>20.00</w:t>
            </w:r>
            <w:r>
              <w:rPr>
                <w:rFonts w:ascii="Arial" w:hAnsi="Arial" w:cs="Arial"/>
                <w:color w:val="000000"/>
                <w:kern w:val="0"/>
                <w:sz w:val="20"/>
                <w:szCs w:val="20"/>
              </w:rPr>
              <w:t>　</w:t>
            </w:r>
          </w:p>
        </w:tc>
        <w:tc>
          <w:tcPr>
            <w:tcW w:w="1200" w:type="dxa"/>
            <w:tcBorders>
              <w:top w:val="nil"/>
              <w:left w:val="nil"/>
              <w:bottom w:val="single" w:color="auto" w:sz="4" w:space="0"/>
              <w:right w:val="single" w:color="auto" w:sz="4" w:space="0"/>
            </w:tcBorders>
          </w:tcPr>
          <w:p>
            <w:pPr>
              <w:widowControl/>
              <w:rPr>
                <w:rFonts w:hint="eastAsia"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332" w:type="dxa"/>
            <w:tcBorders>
              <w:top w:val="nil"/>
              <w:left w:val="nil"/>
              <w:bottom w:val="single" w:color="auto" w:sz="4" w:space="0"/>
              <w:right w:val="single" w:color="auto" w:sz="4" w:space="0"/>
            </w:tcBorders>
          </w:tcPr>
          <w:p>
            <w:pPr>
              <w:widowControl/>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20.00</w:t>
            </w:r>
          </w:p>
        </w:tc>
        <w:tc>
          <w:tcPr>
            <w:tcW w:w="964" w:type="dxa"/>
            <w:tcBorders>
              <w:top w:val="nil"/>
              <w:left w:val="nil"/>
              <w:bottom w:val="single" w:color="auto" w:sz="4" w:space="0"/>
              <w:right w:val="single" w:color="auto" w:sz="4" w:space="0"/>
            </w:tcBorders>
          </w:tcPr>
          <w:p>
            <w:pPr>
              <w:widowControl/>
              <w:ind w:firstLine="200" w:firstLineChars="1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5.00</w:t>
            </w:r>
          </w:p>
        </w:tc>
        <w:tc>
          <w:tcPr>
            <w:tcW w:w="806"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lang w:val="en-US" w:eastAsia="zh-CN"/>
              </w:rPr>
              <w:t>11.22</w:t>
            </w: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hint="eastAsia"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806" w:type="dxa"/>
            <w:tcBorders>
              <w:top w:val="nil"/>
              <w:left w:val="nil"/>
              <w:bottom w:val="single" w:color="auto" w:sz="4" w:space="0"/>
              <w:right w:val="single" w:color="auto" w:sz="4" w:space="0"/>
            </w:tcBorders>
          </w:tcPr>
          <w:p>
            <w:pPr>
              <w:widowControl/>
              <w:ind w:firstLine="200" w:firstLineChars="100"/>
              <w:jc w:val="left"/>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9.82</w:t>
            </w:r>
          </w:p>
        </w:tc>
        <w:tc>
          <w:tcPr>
            <w:tcW w:w="1398" w:type="dxa"/>
            <w:tcBorders>
              <w:top w:val="nil"/>
              <w:left w:val="nil"/>
              <w:bottom w:val="single" w:color="auto" w:sz="4" w:space="0"/>
              <w:right w:val="single" w:color="auto" w:sz="4" w:space="0"/>
            </w:tcBorders>
          </w:tcPr>
          <w:p>
            <w:pPr>
              <w:widowControl/>
              <w:ind w:firstLine="400" w:firstLineChars="200"/>
              <w:jc w:val="left"/>
              <w:rPr>
                <w:rFonts w:hint="eastAsia"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0</w:t>
            </w:r>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9.82</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hint="default"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1.40</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rPr>
      </w:pPr>
      <w:r>
        <w:rPr>
          <w:rFonts w:hint="eastAsia"/>
        </w:rPr>
        <w:t>注：本表反映部门本年度政府性基金预算财政拨款收入支出及结转和结余情况。</w:t>
      </w:r>
    </w:p>
    <w:p>
      <w:pPr>
        <w:spacing w:line="560" w:lineRule="exact"/>
        <w:ind w:firstLine="630" w:firstLineChars="300"/>
        <w:rPr>
          <w:rFonts w:hint="eastAsia"/>
          <w:color w:val="FF0000"/>
        </w:rPr>
      </w:pPr>
      <w:r>
        <w:rPr>
          <w:rFonts w:hint="eastAsia"/>
          <w:color w:val="FF0000"/>
          <w:lang w:eastAsia="zh-CN"/>
        </w:rPr>
        <w:t>柳州市第一职业技术学校</w:t>
      </w:r>
      <w:r>
        <w:rPr>
          <w:rFonts w:hint="eastAsia"/>
          <w:color w:val="FF0000"/>
        </w:rPr>
        <w:t>没有政府性基金预算财政拨款收入，也没有政府性基金预算安排的支出，故本表无数据。</w:t>
      </w:r>
    </w:p>
    <w:p>
      <w:pPr>
        <w:spacing w:line="560" w:lineRule="exact"/>
        <w:ind w:firstLine="420"/>
        <w:rPr>
          <w:rFonts w:hint="eastAsia"/>
        </w:rPr>
      </w:pP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9"/>
                <w:highlight w:val="none"/>
                <w:lang w:val="en-US" w:eastAsia="zh-CN" w:bidi="ar"/>
              </w:rPr>
              <w:t xml:space="preserve">   </w:t>
            </w:r>
            <w:r>
              <w:rPr>
                <w:rStyle w:val="10"/>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color w:val="FF0000"/>
                <w:lang w:eastAsia="zh-CN"/>
              </w:rPr>
              <w:t>柳州市第一职业技术学校</w:t>
            </w:r>
            <w:r>
              <w:rPr>
                <w:rFonts w:hint="eastAsia"/>
                <w:color w:val="FF0000"/>
              </w:rPr>
              <w:t>没有</w:t>
            </w:r>
            <w:r>
              <w:rPr>
                <w:rFonts w:hint="eastAsia"/>
                <w:color w:val="FF0000"/>
                <w:lang w:eastAsia="zh-CN"/>
              </w:rPr>
              <w:t>国有资本经营预算财政拨款</w:t>
            </w:r>
            <w:r>
              <w:rPr>
                <w:rFonts w:hint="eastAsia"/>
                <w:color w:val="FF0000"/>
              </w:rPr>
              <w:t>支出，故本表无数据。</w:t>
            </w:r>
          </w:p>
        </w:tc>
      </w:tr>
    </w:tbl>
    <w:p>
      <w:pPr>
        <w:spacing w:line="560" w:lineRule="exact"/>
        <w:ind w:firstLine="420"/>
        <w:rPr>
          <w:rFonts w:hint="eastAsia"/>
          <w:highlight w:val="none"/>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rPr>
          <w:rFonts w:ascii="仿宋_GB2312" w:eastAsia="仿宋_GB2312"/>
          <w:b/>
          <w:sz w:val="32"/>
          <w:szCs w:val="32"/>
        </w:rPr>
      </w:pPr>
      <w:r>
        <w:rPr>
          <w:rFonts w:hint="eastAsia" w:ascii="仿宋_GB2312" w:eastAsia="仿宋_GB2312"/>
          <w:b/>
          <w:sz w:val="32"/>
          <w:szCs w:val="32"/>
        </w:rPr>
        <w:t>第三部分：2020年度部门决算情况说明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14,377.30</w:t>
      </w:r>
      <w:r>
        <w:rPr>
          <w:rFonts w:hint="eastAsia" w:ascii="仿宋_GB2312" w:eastAsia="仿宋_GB2312" w:cs="仿宋_GB2312"/>
          <w:bCs/>
          <w:kern w:val="0"/>
          <w:sz w:val="32"/>
          <w:szCs w:val="32"/>
        </w:rPr>
        <w:t>万元，支出总</w:t>
      </w:r>
      <w:r>
        <w:rPr>
          <w:rFonts w:hint="eastAsia" w:ascii="仿宋_GB2312" w:eastAsia="仿宋_GB2312" w:cs="仿宋_GB2312"/>
          <w:bCs/>
          <w:kern w:val="0"/>
          <w:sz w:val="32"/>
          <w:szCs w:val="32"/>
          <w:lang w:val="en-US" w:eastAsia="zh-CN"/>
        </w:rPr>
        <w:t>14,710.87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比</w:t>
      </w:r>
      <w:r>
        <w:rPr>
          <w:rFonts w:hint="eastAsia" w:ascii="仿宋_GB2312" w:eastAsia="仿宋_GB2312" w:cs="仿宋_GB2312"/>
          <w:bCs/>
          <w:kern w:val="0"/>
          <w:sz w:val="32"/>
          <w:szCs w:val="32"/>
        </w:rPr>
        <w:t>2019年</w:t>
      </w:r>
      <w:r>
        <w:rPr>
          <w:rFonts w:hint="eastAsia" w:ascii="仿宋_GB2312" w:eastAsia="仿宋_GB2312" w:cs="仿宋_GB2312"/>
          <w:bCs/>
          <w:kern w:val="0"/>
          <w:sz w:val="32"/>
          <w:szCs w:val="32"/>
          <w:lang w:eastAsia="zh-CN"/>
        </w:rPr>
        <w:t>度收入总计</w:t>
      </w:r>
      <w:r>
        <w:rPr>
          <w:rFonts w:hint="eastAsia" w:ascii="仿宋_GB2312" w:eastAsia="仿宋_GB2312" w:cs="仿宋_GB2312"/>
          <w:bCs/>
          <w:kern w:val="0"/>
          <w:sz w:val="32"/>
          <w:szCs w:val="32"/>
          <w:lang w:val="en-US" w:eastAsia="zh-CN"/>
        </w:rPr>
        <w:t>15,114.12万元减少736.82万元，下降4.88%，比2019年支出总计14,531.48万元增加179.39万元，增长1.23%。</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14,377.30</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13,557.50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94.30%</w:t>
      </w:r>
      <w:r>
        <w:rPr>
          <w:rFonts w:hint="eastAsia" w:ascii="仿宋_GB2312" w:eastAsia="仿宋_GB2312" w:cs="仿宋_GB2312"/>
          <w:bCs/>
          <w:kern w:val="0"/>
          <w:sz w:val="32"/>
          <w:szCs w:val="32"/>
        </w:rPr>
        <w:t> ；政府基金预算财政拨款收入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万元；上级补助收入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万元；事业收入</w:t>
      </w:r>
      <w:r>
        <w:rPr>
          <w:rFonts w:hint="eastAsia" w:ascii="仿宋_GB2312" w:eastAsia="仿宋_GB2312" w:cs="仿宋_GB2312"/>
          <w:bCs/>
          <w:kern w:val="0"/>
          <w:sz w:val="32"/>
          <w:szCs w:val="32"/>
          <w:lang w:val="en-US" w:eastAsia="zh-CN"/>
        </w:rPr>
        <w:t>727.70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5.06%</w:t>
      </w:r>
      <w:r>
        <w:rPr>
          <w:rFonts w:hint="eastAsia" w:ascii="仿宋_GB2312" w:eastAsia="仿宋_GB2312" w:cs="仿宋_GB2312"/>
          <w:bCs/>
          <w:kern w:val="0"/>
          <w:sz w:val="32"/>
          <w:szCs w:val="32"/>
        </w:rPr>
        <w:t xml:space="preserve"> ；事业单位经营收入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万元，其他收入</w:t>
      </w:r>
      <w:r>
        <w:rPr>
          <w:rFonts w:hint="eastAsia" w:ascii="仿宋_GB2312" w:eastAsia="仿宋_GB2312" w:cs="仿宋_GB2312"/>
          <w:bCs/>
          <w:kern w:val="0"/>
          <w:sz w:val="32"/>
          <w:szCs w:val="32"/>
          <w:lang w:val="en-US" w:eastAsia="zh-CN"/>
        </w:rPr>
        <w:t>92.11</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0.64%</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14,710.87</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7,409.20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50.37</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7,301.67</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49.63</w:t>
      </w:r>
      <w:r>
        <w:rPr>
          <w:rFonts w:hint="eastAsia" w:ascii="仿宋_GB2312" w:eastAsia="仿宋_GB2312" w:cs="仿宋_GB2312"/>
          <w:bCs/>
          <w:kern w:val="0"/>
          <w:sz w:val="32"/>
          <w:szCs w:val="32"/>
        </w:rPr>
        <w:t>%；经营支出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 xml:space="preserve">总决算 </w:t>
      </w:r>
      <w:r>
        <w:rPr>
          <w:rFonts w:hint="eastAsia" w:ascii="仿宋_GB2312" w:eastAsia="仿宋_GB2312" w:cs="仿宋_GB2312"/>
          <w:bCs/>
          <w:kern w:val="0"/>
          <w:sz w:val="32"/>
          <w:szCs w:val="32"/>
          <w:lang w:val="en-US" w:eastAsia="zh-CN"/>
        </w:rPr>
        <w:t>13,557.50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2020年度财政拨款支出总决算13,858.30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比</w:t>
      </w:r>
      <w:r>
        <w:rPr>
          <w:rFonts w:hint="eastAsia" w:ascii="仿宋_GB2312" w:eastAsia="仿宋_GB2312" w:cs="仿宋_GB2312"/>
          <w:bCs/>
          <w:kern w:val="0"/>
          <w:sz w:val="32"/>
          <w:szCs w:val="32"/>
        </w:rPr>
        <w:t xml:space="preserve"> 2019 年</w:t>
      </w:r>
      <w:r>
        <w:rPr>
          <w:rFonts w:hint="eastAsia" w:ascii="仿宋_GB2312" w:eastAsia="仿宋_GB2312" w:cs="仿宋_GB2312"/>
          <w:bCs/>
          <w:kern w:val="0"/>
          <w:sz w:val="32"/>
          <w:szCs w:val="32"/>
          <w:lang w:eastAsia="zh-CN"/>
        </w:rPr>
        <w:t>度</w:t>
      </w:r>
      <w:r>
        <w:rPr>
          <w:rFonts w:hint="eastAsia" w:ascii="仿宋_GB2312" w:eastAsia="仿宋_GB2312" w:cs="仿宋_GB2312"/>
          <w:bCs/>
          <w:kern w:val="0"/>
          <w:sz w:val="32"/>
          <w:szCs w:val="32"/>
        </w:rPr>
        <w:t>财政拨款收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lang w:val="en-US" w:eastAsia="zh-CN"/>
        </w:rPr>
        <w:t>13,217.01万元增加了340.49万元，增长2.58%；比2019年度财政拨款支出12,788.92万元增加了1,069.38万元，增长8.36%。</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部门 2020年度财政拨款支出 </w:t>
      </w:r>
      <w:r>
        <w:rPr>
          <w:rFonts w:hint="eastAsia" w:ascii="仿宋_GB2312" w:eastAsia="仿宋_GB2312" w:cs="仿宋_GB2312"/>
          <w:bCs/>
          <w:kern w:val="0"/>
          <w:sz w:val="32"/>
          <w:szCs w:val="32"/>
          <w:lang w:val="en-US" w:eastAsia="zh-CN"/>
        </w:rPr>
        <w:t>13,858.30</w:t>
      </w:r>
      <w:r>
        <w:rPr>
          <w:rFonts w:hint="eastAsia" w:ascii="仿宋_GB2312" w:eastAsia="仿宋_GB2312" w:cs="仿宋_GB2312"/>
          <w:bCs/>
          <w:kern w:val="0"/>
          <w:sz w:val="32"/>
          <w:szCs w:val="32"/>
        </w:rPr>
        <w:t>万元，占本年支出合计</w:t>
      </w:r>
      <w:r>
        <w:rPr>
          <w:rFonts w:hint="eastAsia" w:ascii="仿宋_GB2312" w:eastAsia="仿宋_GB2312" w:cs="仿宋_GB2312"/>
          <w:bCs/>
          <w:kern w:val="0"/>
          <w:sz w:val="32"/>
          <w:szCs w:val="32"/>
          <w:lang w:val="en-US" w:eastAsia="zh-CN"/>
        </w:rPr>
        <w:t>14,710.83万元</w:t>
      </w:r>
      <w:r>
        <w:rPr>
          <w:rFonts w:hint="eastAsia" w:ascii="仿宋_GB2312" w:eastAsia="仿宋_GB2312" w:cs="仿宋_GB2312"/>
          <w:bCs/>
          <w:kern w:val="0"/>
          <w:sz w:val="32"/>
          <w:szCs w:val="32"/>
        </w:rPr>
        <w:t>的</w:t>
      </w:r>
      <w:r>
        <w:rPr>
          <w:rFonts w:hint="eastAsia" w:ascii="仿宋_GB2312" w:eastAsia="仿宋_GB2312" w:cs="仿宋_GB2312"/>
          <w:bCs/>
          <w:kern w:val="0"/>
          <w:sz w:val="32"/>
          <w:szCs w:val="32"/>
          <w:lang w:val="en-US" w:eastAsia="zh-CN"/>
        </w:rPr>
        <w:t>94.20</w:t>
      </w:r>
      <w:r>
        <w:rPr>
          <w:rFonts w:hint="eastAsia" w:ascii="仿宋_GB2312" w:eastAsia="仿宋_GB2312" w:cs="仿宋_GB2312"/>
          <w:bCs/>
          <w:kern w:val="0"/>
          <w:sz w:val="32"/>
          <w:szCs w:val="32"/>
        </w:rPr>
        <w:t>%。与 2019 年</w:t>
      </w:r>
      <w:r>
        <w:rPr>
          <w:rFonts w:hint="eastAsia" w:ascii="仿宋_GB2312" w:eastAsia="仿宋_GB2312" w:cs="仿宋_GB2312"/>
          <w:bCs/>
          <w:kern w:val="0"/>
          <w:sz w:val="32"/>
          <w:szCs w:val="32"/>
          <w:lang w:eastAsia="zh-CN"/>
        </w:rPr>
        <w:t>度财政拨款支出</w:t>
      </w:r>
      <w:r>
        <w:rPr>
          <w:rFonts w:hint="eastAsia" w:ascii="仿宋_GB2312" w:eastAsia="仿宋_GB2312" w:cs="仿宋_GB2312"/>
          <w:bCs/>
          <w:kern w:val="0"/>
          <w:sz w:val="32"/>
          <w:szCs w:val="32"/>
          <w:lang w:val="en-US" w:eastAsia="zh-CN"/>
        </w:rPr>
        <w:t>12,788.92万元相比</w:t>
      </w:r>
      <w:r>
        <w:rPr>
          <w:rFonts w:hint="eastAsia" w:ascii="仿宋_GB2312" w:eastAsia="仿宋_GB2312" w:cs="仿宋_GB2312"/>
          <w:bCs/>
          <w:kern w:val="0"/>
          <w:sz w:val="32"/>
          <w:szCs w:val="32"/>
        </w:rPr>
        <w:t>增</w:t>
      </w:r>
      <w:r>
        <w:rPr>
          <w:rFonts w:hint="eastAsia" w:ascii="仿宋_GB2312" w:eastAsia="仿宋_GB2312" w:cs="仿宋_GB2312"/>
          <w:bCs/>
          <w:kern w:val="0"/>
          <w:sz w:val="32"/>
          <w:szCs w:val="32"/>
          <w:lang w:eastAsia="zh-CN"/>
        </w:rPr>
        <w:t>加了</w:t>
      </w:r>
      <w:r>
        <w:rPr>
          <w:rFonts w:hint="eastAsia" w:ascii="仿宋_GB2312" w:eastAsia="仿宋_GB2312" w:cs="仿宋_GB2312"/>
          <w:bCs/>
          <w:kern w:val="0"/>
          <w:sz w:val="32"/>
          <w:szCs w:val="32"/>
          <w:lang w:val="en-US" w:eastAsia="zh-CN"/>
        </w:rPr>
        <w:t>1,069.38</w:t>
      </w:r>
      <w:r>
        <w:rPr>
          <w:rFonts w:hint="eastAsia" w:ascii="仿宋_GB2312" w:eastAsia="仿宋_GB2312" w:cs="仿宋_GB2312"/>
          <w:bCs/>
          <w:kern w:val="0"/>
          <w:sz w:val="32"/>
          <w:szCs w:val="32"/>
        </w:rPr>
        <w:t>万元，增</w:t>
      </w:r>
      <w:r>
        <w:rPr>
          <w:rFonts w:hint="eastAsia" w:ascii="仿宋_GB2312" w:eastAsia="仿宋_GB2312" w:cs="仿宋_GB2312"/>
          <w:bCs/>
          <w:kern w:val="0"/>
          <w:sz w:val="32"/>
          <w:szCs w:val="32"/>
          <w:lang w:eastAsia="zh-CN"/>
        </w:rPr>
        <w:t>长</w:t>
      </w:r>
      <w:r>
        <w:rPr>
          <w:rFonts w:hint="eastAsia" w:ascii="仿宋_GB2312" w:eastAsia="仿宋_GB2312" w:cs="仿宋_GB2312"/>
          <w:bCs/>
          <w:kern w:val="0"/>
          <w:sz w:val="32"/>
          <w:szCs w:val="32"/>
          <w:lang w:val="en-US" w:eastAsia="zh-CN"/>
        </w:rPr>
        <w:t>8.36%。</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（二）财政拨款支出决算结构情</w:t>
      </w:r>
      <w:r>
        <w:rPr>
          <w:rFonts w:hint="eastAsia" w:ascii="仿宋_GB2312" w:eastAsia="仿宋_GB2312" w:cs="仿宋_GB2312"/>
          <w:bCs/>
          <w:kern w:val="0"/>
          <w:sz w:val="32"/>
          <w:szCs w:val="32"/>
          <w:lang w:eastAsia="zh-CN"/>
        </w:rPr>
        <w:t>况</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 年度财政拨款支出</w:t>
      </w:r>
      <w:r>
        <w:rPr>
          <w:rFonts w:hint="eastAsia" w:ascii="仿宋_GB2312" w:eastAsia="仿宋_GB2312" w:cs="仿宋_GB2312"/>
          <w:bCs/>
          <w:kern w:val="0"/>
          <w:sz w:val="32"/>
          <w:szCs w:val="32"/>
          <w:lang w:val="en-US" w:eastAsia="zh-CN"/>
        </w:rPr>
        <w:t>13,858.30</w:t>
      </w:r>
      <w:r>
        <w:rPr>
          <w:rFonts w:hint="eastAsia" w:ascii="仿宋_GB2312" w:eastAsia="仿宋_GB2312" w:cs="仿宋_GB2312"/>
          <w:bCs/>
          <w:kern w:val="0"/>
          <w:sz w:val="32"/>
          <w:szCs w:val="32"/>
        </w:rPr>
        <w:t xml:space="preserve">万元，主要用于以下方面：一般公共服务（类）支出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教育（类）支出</w:t>
      </w:r>
      <w:r>
        <w:rPr>
          <w:rFonts w:hint="eastAsia" w:ascii="仿宋_GB2312" w:eastAsia="仿宋_GB2312" w:cs="仿宋_GB2312"/>
          <w:bCs/>
          <w:kern w:val="0"/>
          <w:sz w:val="32"/>
          <w:szCs w:val="32"/>
          <w:lang w:val="en-US" w:eastAsia="zh-CN"/>
        </w:rPr>
        <w:t>13,851.70</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99.95</w:t>
      </w:r>
      <w:r>
        <w:rPr>
          <w:rFonts w:hint="eastAsia" w:ascii="仿宋_GB2312" w:eastAsia="仿宋_GB2312" w:cs="仿宋_GB2312"/>
          <w:bCs/>
          <w:kern w:val="0"/>
          <w:sz w:val="32"/>
          <w:szCs w:val="32"/>
        </w:rPr>
        <w:t>%；科学技术（类） 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%；文化体育与传媒（类）支出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%；农林水（类）支出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万元，占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住房保障（类）支出</w:t>
      </w:r>
      <w:r>
        <w:rPr>
          <w:rFonts w:hint="eastAsia" w:ascii="仿宋_GB2312" w:eastAsia="仿宋_GB2312" w:cs="仿宋_GB2312"/>
          <w:bCs/>
          <w:kern w:val="0"/>
          <w:sz w:val="32"/>
          <w:szCs w:val="32"/>
          <w:lang w:val="en-US" w:eastAsia="zh-CN"/>
        </w:rPr>
        <w:t>6.61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0.05%</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numPr>
          <w:ilvl w:val="0"/>
          <w:numId w:val="3"/>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 年度财政拨款支出年初预算为 </w:t>
      </w:r>
      <w:r>
        <w:rPr>
          <w:rFonts w:hint="eastAsia" w:ascii="仿宋_GB2312" w:eastAsia="仿宋_GB2312" w:cs="仿宋_GB2312"/>
          <w:bCs/>
          <w:kern w:val="0"/>
          <w:sz w:val="32"/>
          <w:szCs w:val="32"/>
          <w:lang w:val="en-US" w:eastAsia="zh-CN"/>
        </w:rPr>
        <w:t>5,957.96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13,858.30</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232.60</w:t>
      </w:r>
      <w:r>
        <w:rPr>
          <w:rFonts w:hint="eastAsia" w:ascii="仿宋_GB2312" w:eastAsia="仿宋_GB2312" w:cs="仿宋_GB2312"/>
          <w:bCs/>
          <w:kern w:val="0"/>
          <w:sz w:val="32"/>
          <w:szCs w:val="32"/>
        </w:rPr>
        <w:t>%。决算数大于预算数的主要原因：一是年中追加安排财政拨款预算</w:t>
      </w:r>
      <w:r>
        <w:rPr>
          <w:rFonts w:hint="eastAsia" w:ascii="仿宋_GB2312" w:eastAsia="仿宋_GB2312" w:cs="仿宋_GB2312"/>
          <w:bCs/>
          <w:kern w:val="0"/>
          <w:sz w:val="32"/>
          <w:szCs w:val="32"/>
          <w:lang w:val="en-US" w:eastAsia="zh-CN"/>
        </w:rPr>
        <w:t>7,599.55万元</w:t>
      </w:r>
      <w:r>
        <w:rPr>
          <w:rFonts w:hint="eastAsia" w:ascii="仿宋_GB2312" w:eastAsia="仿宋_GB2312" w:cs="仿宋_GB2312"/>
          <w:bCs/>
          <w:kern w:val="0"/>
          <w:sz w:val="32"/>
          <w:szCs w:val="32"/>
        </w:rPr>
        <w:t>，二是部分支出按规定，通过使用以前年度财政拨款结转资金970.62万元。</w:t>
      </w:r>
      <w:r>
        <w:rPr>
          <w:rFonts w:hint="eastAsia" w:ascii="仿宋_GB2312" w:eastAsia="仿宋_GB2312" w:cs="仿宋_GB2312"/>
          <w:bCs/>
          <w:kern w:val="0"/>
          <w:sz w:val="32"/>
          <w:szCs w:val="32"/>
          <w:lang w:eastAsia="zh-CN"/>
        </w:rPr>
        <w:t>决算数与预算数差异如下</w:t>
      </w:r>
      <w:r>
        <w:rPr>
          <w:rFonts w:hint="eastAsia" w:ascii="仿宋_GB2312" w:eastAsia="仿宋_GB2312" w:cs="仿宋_GB2312"/>
          <w:bCs/>
          <w:kern w:val="0"/>
          <w:sz w:val="32"/>
          <w:szCs w:val="32"/>
          <w:lang w:val="en-US" w:eastAsia="zh-CN"/>
        </w:rPr>
        <w:t>:</w:t>
      </w:r>
    </w:p>
    <w:p>
      <w:pPr>
        <w:spacing w:line="560" w:lineRule="exact"/>
        <w:ind w:firstLine="435"/>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205</w:t>
      </w:r>
      <w:r>
        <w:rPr>
          <w:rFonts w:hint="eastAsia" w:ascii="仿宋_GB2312" w:eastAsia="仿宋_GB2312"/>
          <w:sz w:val="32"/>
          <w:szCs w:val="32"/>
        </w:rPr>
        <w:t>类</w:t>
      </w:r>
      <w:r>
        <w:rPr>
          <w:rFonts w:hint="eastAsia" w:ascii="仿宋_GB2312" w:eastAsia="仿宋_GB2312"/>
          <w:sz w:val="32"/>
          <w:szCs w:val="32"/>
          <w:lang w:val="en-US" w:eastAsia="zh-CN"/>
        </w:rPr>
        <w:t>03</w:t>
      </w:r>
      <w:r>
        <w:rPr>
          <w:rFonts w:hint="eastAsia" w:ascii="仿宋_GB2312" w:eastAsia="仿宋_GB2312"/>
          <w:sz w:val="32"/>
          <w:szCs w:val="32"/>
        </w:rPr>
        <w:t>款</w:t>
      </w:r>
      <w:r>
        <w:rPr>
          <w:rFonts w:hint="eastAsia" w:ascii="仿宋_GB2312" w:eastAsia="仿宋_GB2312"/>
          <w:sz w:val="32"/>
          <w:szCs w:val="32"/>
          <w:lang w:val="en-US" w:eastAsia="zh-CN"/>
        </w:rPr>
        <w:t>02</w:t>
      </w:r>
      <w:r>
        <w:rPr>
          <w:rFonts w:hint="eastAsia" w:ascii="仿宋_GB2312" w:eastAsia="仿宋_GB2312"/>
          <w:sz w:val="32"/>
          <w:szCs w:val="32"/>
        </w:rPr>
        <w:t>项</w:t>
      </w:r>
      <w:r>
        <w:rPr>
          <w:rFonts w:hint="eastAsia" w:ascii="仿宋_GB2312" w:eastAsia="仿宋_GB2312"/>
          <w:sz w:val="32"/>
          <w:szCs w:val="32"/>
          <w:lang w:eastAsia="zh-CN"/>
        </w:rPr>
        <w:t>中等职业教育</w:t>
      </w:r>
      <w:r>
        <w:rPr>
          <w:rFonts w:hint="eastAsia" w:ascii="仿宋_GB2312" w:eastAsia="仿宋_GB2312"/>
          <w:sz w:val="32"/>
          <w:szCs w:val="32"/>
          <w:lang w:val="en-US" w:eastAsia="zh-CN"/>
        </w:rPr>
        <w:t>13,199.60</w:t>
      </w:r>
      <w:r>
        <w:rPr>
          <w:rFonts w:hint="eastAsia" w:ascii="仿宋_GB2312" w:eastAsia="仿宋_GB2312"/>
          <w:sz w:val="32"/>
          <w:szCs w:val="32"/>
        </w:rPr>
        <w:t>万元，与年度预算</w:t>
      </w:r>
      <w:r>
        <w:rPr>
          <w:rFonts w:hint="eastAsia" w:ascii="仿宋_GB2312" w:eastAsia="仿宋_GB2312"/>
          <w:sz w:val="32"/>
          <w:szCs w:val="32"/>
          <w:lang w:val="en-US" w:eastAsia="zh-CN"/>
        </w:rPr>
        <w:t>13,780.69</w:t>
      </w:r>
      <w:r>
        <w:rPr>
          <w:rFonts w:hint="eastAsia" w:ascii="仿宋_GB2312" w:eastAsia="仿宋_GB2312"/>
          <w:sz w:val="32"/>
          <w:szCs w:val="32"/>
        </w:rPr>
        <w:t xml:space="preserve">万元相比少 </w:t>
      </w:r>
      <w:r>
        <w:rPr>
          <w:rFonts w:hint="eastAsia" w:ascii="仿宋_GB2312" w:eastAsia="仿宋_GB2312"/>
          <w:sz w:val="32"/>
          <w:szCs w:val="32"/>
          <w:lang w:val="en-US" w:eastAsia="zh-CN"/>
        </w:rPr>
        <w:t>581.09</w:t>
      </w:r>
      <w:r>
        <w:rPr>
          <w:rFonts w:hint="eastAsia" w:ascii="仿宋_GB2312" w:eastAsia="仿宋_GB2312"/>
          <w:sz w:val="32"/>
          <w:szCs w:val="32"/>
        </w:rPr>
        <w:t xml:space="preserve">万元，为年度预算的 </w:t>
      </w:r>
      <w:r>
        <w:rPr>
          <w:rFonts w:hint="eastAsia" w:ascii="仿宋_GB2312" w:eastAsia="仿宋_GB2312"/>
          <w:sz w:val="32"/>
          <w:szCs w:val="32"/>
          <w:lang w:val="en-US" w:eastAsia="zh-CN"/>
        </w:rPr>
        <w:t>95.78</w:t>
      </w:r>
      <w:r>
        <w:rPr>
          <w:rFonts w:hint="eastAsia" w:ascii="仿宋_GB2312" w:eastAsia="仿宋_GB2312"/>
          <w:sz w:val="32"/>
          <w:szCs w:val="32"/>
        </w:rPr>
        <w:t xml:space="preserve"> %。决算数与年度预算数存在差异原因如下：</w:t>
      </w:r>
    </w:p>
    <w:p>
      <w:pPr>
        <w:spacing w:line="560" w:lineRule="exact"/>
        <w:ind w:firstLine="435"/>
        <w:rPr>
          <w:rFonts w:hint="eastAsia" w:ascii="仿宋_GB2312" w:eastAsia="仿宋_GB2312"/>
          <w:sz w:val="32"/>
          <w:szCs w:val="32"/>
          <w:lang w:val="en-US" w:eastAsia="zh-CN"/>
        </w:rPr>
      </w:pPr>
      <w:r>
        <w:rPr>
          <w:rFonts w:hint="eastAsia" w:ascii="仿宋_GB2312" w:eastAsia="仿宋_GB2312"/>
          <w:sz w:val="32"/>
          <w:szCs w:val="32"/>
          <w:lang w:val="en-US" w:eastAsia="zh-CN"/>
        </w:rPr>
        <w:t>(1)2020年市本级教育资助类经费，柳财预[2020]800号，预算金额300.00万元，已支付248.12万元，剩余指标51.88万元。</w:t>
      </w:r>
    </w:p>
    <w:p>
      <w:pPr>
        <w:spacing w:line="560" w:lineRule="exact"/>
        <w:ind w:firstLine="435"/>
        <w:rPr>
          <w:rFonts w:hint="default" w:ascii="仿宋_GB2312" w:eastAsia="仿宋_GB2312"/>
          <w:sz w:val="32"/>
          <w:szCs w:val="32"/>
          <w:lang w:val="en-US" w:eastAsia="zh-CN"/>
        </w:rPr>
      </w:pPr>
      <w:r>
        <w:rPr>
          <w:rFonts w:hint="eastAsia" w:ascii="仿宋_GB2312" w:eastAsia="仿宋_GB2312"/>
          <w:sz w:val="32"/>
          <w:szCs w:val="32"/>
          <w:lang w:val="en-US" w:eastAsia="zh-CN"/>
        </w:rPr>
        <w:t>(2)2020年教育现代化推进工程第一批中央基建投资预算（1号实训楼项目），柳财预追[2020]195号，预算金额1500万元，已支付1,337.65万元，剩余指标162.35万元。</w:t>
      </w:r>
    </w:p>
    <w:p>
      <w:pPr>
        <w:spacing w:line="560" w:lineRule="exact"/>
        <w:ind w:firstLine="435"/>
        <w:rPr>
          <w:rFonts w:hint="eastAsia" w:ascii="仿宋_GB2312" w:eastAsia="仿宋_GB2312"/>
          <w:sz w:val="32"/>
          <w:szCs w:val="32"/>
          <w:lang w:val="en-US" w:eastAsia="zh-CN"/>
        </w:rPr>
      </w:pPr>
      <w:r>
        <w:rPr>
          <w:rFonts w:hint="eastAsia" w:ascii="仿宋_GB2312" w:eastAsia="仿宋_GB2312"/>
          <w:sz w:val="32"/>
          <w:szCs w:val="32"/>
          <w:lang w:val="en-US" w:eastAsia="zh-CN"/>
        </w:rPr>
        <w:t>(3)2020年中央现代职业教育质量提升计划经费，柳财预追[2020]52号，预算金额765.00万元，已支付760.92万元，剩余指标4.08万元。</w:t>
      </w:r>
    </w:p>
    <w:p>
      <w:pPr>
        <w:spacing w:line="560" w:lineRule="exact"/>
        <w:ind w:firstLine="435"/>
        <w:rPr>
          <w:rFonts w:hint="eastAsia" w:ascii="仿宋_GB2312" w:eastAsia="仿宋_GB2312"/>
          <w:sz w:val="32"/>
          <w:szCs w:val="32"/>
          <w:lang w:val="en-US" w:eastAsia="zh-CN"/>
        </w:rPr>
      </w:pPr>
      <w:r>
        <w:rPr>
          <w:rFonts w:hint="eastAsia" w:ascii="仿宋_GB2312" w:eastAsia="仿宋_GB2312"/>
          <w:sz w:val="32"/>
          <w:szCs w:val="32"/>
          <w:lang w:val="en-US" w:eastAsia="zh-CN"/>
        </w:rPr>
        <w:t>(4)2020年中央现代职业教育质量提升计划经费（第二批），柳财预追[2020]229号，预算金额180.00万元，已支付169.38万元，剩余指标10.62万元。</w:t>
      </w:r>
    </w:p>
    <w:p>
      <w:pPr>
        <w:spacing w:line="560" w:lineRule="exact"/>
        <w:ind w:firstLine="435"/>
        <w:rPr>
          <w:rFonts w:hint="eastAsia" w:ascii="仿宋_GB2312" w:eastAsia="仿宋_GB2312"/>
          <w:sz w:val="32"/>
          <w:szCs w:val="32"/>
          <w:lang w:val="en-US" w:eastAsia="zh-CN"/>
        </w:rPr>
      </w:pPr>
      <w:r>
        <w:rPr>
          <w:rFonts w:hint="eastAsia" w:ascii="仿宋_GB2312" w:eastAsia="仿宋_GB2312"/>
          <w:sz w:val="32"/>
          <w:szCs w:val="32"/>
          <w:lang w:val="en-US" w:eastAsia="zh-CN"/>
        </w:rPr>
        <w:t>(5)2020年自治区现代职业教育发展专项经费，柳财预追[2020]237号，预算金额92.00万元，已支付39.94万元，剩余指标52.06万元。</w:t>
      </w:r>
    </w:p>
    <w:p>
      <w:pPr>
        <w:spacing w:line="560" w:lineRule="exact"/>
        <w:ind w:firstLine="435"/>
        <w:rPr>
          <w:rFonts w:hint="eastAsia" w:ascii="仿宋_GB2312" w:eastAsia="仿宋_GB2312"/>
          <w:sz w:val="32"/>
          <w:szCs w:val="32"/>
          <w:lang w:val="en-US" w:eastAsia="zh-CN"/>
        </w:rPr>
      </w:pPr>
      <w:r>
        <w:rPr>
          <w:rFonts w:hint="eastAsia" w:ascii="仿宋_GB2312" w:eastAsia="仿宋_GB2312"/>
          <w:sz w:val="32"/>
          <w:szCs w:val="32"/>
          <w:lang w:val="en-US" w:eastAsia="zh-CN"/>
        </w:rPr>
        <w:t>(6)2020年中央现代职业教育质量提升计划经费（第三批），柳财预追〔2020〕404号，预算金额300.00万元，尚未支付。</w:t>
      </w:r>
    </w:p>
    <w:p>
      <w:pPr>
        <w:spacing w:line="560" w:lineRule="exact"/>
        <w:ind w:firstLine="435"/>
        <w:rPr>
          <w:rFonts w:hint="eastAsia" w:ascii="仿宋_GB2312" w:eastAsia="仿宋_GB2312"/>
          <w:sz w:val="32"/>
          <w:szCs w:val="32"/>
          <w:lang w:val="en-US" w:eastAsia="zh-CN"/>
        </w:rPr>
      </w:pPr>
      <w:r>
        <w:rPr>
          <w:rFonts w:hint="eastAsia" w:ascii="仿宋_GB2312" w:eastAsia="仿宋_GB2312"/>
          <w:sz w:val="32"/>
          <w:szCs w:val="32"/>
          <w:lang w:val="en-US" w:eastAsia="zh-CN"/>
        </w:rPr>
        <w:t>(7)2020年中等职业教育国家助学金和免学费补助资金，柳财预追[2020]88号，预算金额1,320.00万元，已支付1,319.91万元，剩余指标0.09万元。</w:t>
      </w:r>
    </w:p>
    <w:p>
      <w:pPr>
        <w:spacing w:line="560" w:lineRule="exact"/>
        <w:ind w:firstLine="435"/>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205</w:t>
      </w:r>
      <w:r>
        <w:rPr>
          <w:rFonts w:hint="eastAsia" w:ascii="仿宋_GB2312" w:eastAsia="仿宋_GB2312"/>
          <w:sz w:val="32"/>
          <w:szCs w:val="32"/>
        </w:rPr>
        <w:t>类</w:t>
      </w:r>
      <w:r>
        <w:rPr>
          <w:rFonts w:hint="eastAsia" w:ascii="仿宋_GB2312" w:eastAsia="仿宋_GB2312"/>
          <w:sz w:val="32"/>
          <w:szCs w:val="32"/>
          <w:lang w:val="en-US" w:eastAsia="zh-CN"/>
        </w:rPr>
        <w:t>03</w:t>
      </w:r>
      <w:r>
        <w:rPr>
          <w:rFonts w:hint="eastAsia" w:ascii="仿宋_GB2312" w:eastAsia="仿宋_GB2312"/>
          <w:sz w:val="32"/>
          <w:szCs w:val="32"/>
        </w:rPr>
        <w:t>款</w:t>
      </w:r>
      <w:r>
        <w:rPr>
          <w:rFonts w:hint="eastAsia" w:ascii="仿宋_GB2312" w:eastAsia="仿宋_GB2312"/>
          <w:sz w:val="32"/>
          <w:szCs w:val="32"/>
          <w:lang w:val="en-US" w:eastAsia="zh-CN"/>
        </w:rPr>
        <w:t>05</w:t>
      </w:r>
      <w:r>
        <w:rPr>
          <w:rFonts w:hint="eastAsia" w:ascii="仿宋_GB2312" w:eastAsia="仿宋_GB2312"/>
          <w:sz w:val="32"/>
          <w:szCs w:val="32"/>
        </w:rPr>
        <w:t>项</w:t>
      </w:r>
      <w:r>
        <w:rPr>
          <w:rFonts w:hint="eastAsia" w:ascii="仿宋_GB2312" w:eastAsia="仿宋_GB2312"/>
          <w:sz w:val="32"/>
          <w:szCs w:val="32"/>
          <w:lang w:eastAsia="zh-CN"/>
        </w:rPr>
        <w:t>高等职业教育</w:t>
      </w:r>
      <w:r>
        <w:rPr>
          <w:rFonts w:hint="eastAsia" w:ascii="仿宋_GB2312" w:eastAsia="仿宋_GB2312"/>
          <w:sz w:val="32"/>
          <w:szCs w:val="32"/>
          <w:lang w:val="en-US" w:eastAsia="zh-CN"/>
        </w:rPr>
        <w:t>4.00</w:t>
      </w:r>
      <w:r>
        <w:rPr>
          <w:rFonts w:hint="eastAsia" w:ascii="仿宋_GB2312" w:eastAsia="仿宋_GB2312"/>
          <w:sz w:val="32"/>
          <w:szCs w:val="32"/>
        </w:rPr>
        <w:t>万元</w:t>
      </w:r>
      <w:r>
        <w:rPr>
          <w:rFonts w:hint="eastAsia" w:ascii="仿宋_GB2312" w:eastAsia="仿宋_GB2312"/>
          <w:sz w:val="32"/>
          <w:szCs w:val="32"/>
          <w:lang w:val="en-US" w:eastAsia="zh-CN"/>
        </w:rPr>
        <w:t>(2019年职业教育自治区级教学成果等次部分奖金)</w:t>
      </w:r>
      <w:r>
        <w:rPr>
          <w:rFonts w:hint="eastAsia" w:ascii="仿宋_GB2312" w:eastAsia="仿宋_GB2312"/>
          <w:sz w:val="32"/>
          <w:szCs w:val="32"/>
        </w:rPr>
        <w:t>，与年度预算</w:t>
      </w:r>
      <w:r>
        <w:rPr>
          <w:rFonts w:hint="eastAsia" w:ascii="仿宋_GB2312" w:eastAsia="仿宋_GB2312"/>
          <w:sz w:val="32"/>
          <w:szCs w:val="32"/>
          <w:lang w:val="en-US" w:eastAsia="zh-CN"/>
        </w:rPr>
        <w:t>4.00</w:t>
      </w:r>
      <w:r>
        <w:rPr>
          <w:rFonts w:hint="eastAsia" w:ascii="仿宋_GB2312" w:eastAsia="仿宋_GB2312"/>
          <w:sz w:val="32"/>
          <w:szCs w:val="32"/>
        </w:rPr>
        <w:t>万元</w:t>
      </w:r>
      <w:r>
        <w:rPr>
          <w:rFonts w:hint="eastAsia" w:ascii="仿宋_GB2312" w:eastAsia="仿宋_GB2312"/>
          <w:sz w:val="32"/>
          <w:szCs w:val="32"/>
          <w:lang w:eastAsia="zh-CN"/>
        </w:rPr>
        <w:t>持平，</w:t>
      </w:r>
      <w:r>
        <w:rPr>
          <w:rFonts w:hint="eastAsia" w:ascii="仿宋_GB2312" w:eastAsia="仿宋_GB2312"/>
          <w:sz w:val="32"/>
          <w:szCs w:val="32"/>
        </w:rPr>
        <w:t xml:space="preserve">为年度预算的 </w:t>
      </w:r>
      <w:r>
        <w:rPr>
          <w:rFonts w:hint="eastAsia" w:ascii="仿宋_GB2312" w:eastAsia="仿宋_GB2312"/>
          <w:sz w:val="32"/>
          <w:szCs w:val="32"/>
          <w:lang w:val="en-US" w:eastAsia="zh-CN"/>
        </w:rPr>
        <w:t>100</w:t>
      </w:r>
      <w:r>
        <w:rPr>
          <w:rFonts w:hint="eastAsia" w:ascii="仿宋_GB2312" w:eastAsia="仿宋_GB2312"/>
          <w:sz w:val="32"/>
          <w:szCs w:val="32"/>
        </w:rPr>
        <w:t xml:space="preserve"> %。</w:t>
      </w:r>
    </w:p>
    <w:p>
      <w:pPr>
        <w:spacing w:line="560" w:lineRule="exact"/>
        <w:ind w:firstLine="435"/>
        <w:rPr>
          <w:rFonts w:hint="default" w:ascii="仿宋_GB2312" w:eastAsia="仿宋_GB2312"/>
          <w:sz w:val="32"/>
          <w:szCs w:val="32"/>
          <w:lang w:val="en-US" w:eastAsia="zh-CN"/>
        </w:rPr>
      </w:pPr>
      <w:r>
        <w:rPr>
          <w:rFonts w:hint="eastAsia" w:ascii="仿宋_GB2312" w:eastAsia="仿宋_GB2312"/>
          <w:sz w:val="32"/>
          <w:szCs w:val="32"/>
          <w:lang w:val="en-US" w:eastAsia="zh-CN"/>
        </w:rPr>
        <w:t>3、205类03款99项其他职业教育支出648.09万元，与年度预算736.83万元相比少88.74万元，为年度预算的87.96%。决算数与年度预算数存在差异的原因是：柳州市2020年教育“两费”第三批支出预算（非基建类项目）柳财预[2020]579号 ，项目预算金额696.98万元，本年支付608.24万元，尚有88.74万元未支付。</w:t>
      </w:r>
    </w:p>
    <w:p>
      <w:pPr>
        <w:spacing w:line="560" w:lineRule="exact"/>
        <w:ind w:firstLine="435"/>
        <w:rPr>
          <w:rFonts w:hint="eastAsia" w:ascii="仿宋_GB2312" w:eastAsia="仿宋_GB2312" w:cs="仿宋_GB2312"/>
          <w:bCs/>
          <w:kern w:val="0"/>
          <w:sz w:val="32"/>
          <w:szCs w:val="32"/>
          <w:lang w:val="en-US" w:eastAsia="zh-CN"/>
        </w:rPr>
      </w:pPr>
      <w:r>
        <w:rPr>
          <w:rFonts w:hint="eastAsia" w:ascii="仿宋_GB2312" w:eastAsia="仿宋_GB2312"/>
          <w:sz w:val="32"/>
          <w:szCs w:val="32"/>
          <w:lang w:val="en-US" w:eastAsia="zh-CN"/>
        </w:rPr>
        <w:t>4、221类02款03项购房补贴6.61万元，与年度预算6.61万元相比持平，为年度预算的100%。</w:t>
      </w:r>
      <w:r>
        <w:rPr>
          <w:rFonts w:hint="eastAsia" w:ascii="仿宋_GB2312" w:eastAsia="仿宋_GB2312"/>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7,346.92</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6,595.24</w:t>
      </w:r>
      <w:r>
        <w:rPr>
          <w:rFonts w:hint="eastAsia" w:ascii="仿宋_GB2312" w:eastAsia="仿宋_GB2312" w:cs="仿宋_GB2312"/>
          <w:bCs/>
          <w:kern w:val="0"/>
          <w:sz w:val="32"/>
          <w:szCs w:val="32"/>
        </w:rPr>
        <w:t>万元，主要包括：基本工资</w:t>
      </w:r>
      <w:r>
        <w:rPr>
          <w:rFonts w:hint="eastAsia" w:ascii="仿宋_GB2312" w:eastAsia="仿宋_GB2312" w:cs="仿宋_GB2312"/>
          <w:bCs/>
          <w:kern w:val="0"/>
          <w:sz w:val="32"/>
          <w:szCs w:val="32"/>
          <w:lang w:val="en-US" w:eastAsia="zh-CN"/>
        </w:rPr>
        <w:t>1,774.05万元</w:t>
      </w:r>
      <w:r>
        <w:rPr>
          <w:rFonts w:hint="eastAsia" w:ascii="仿宋_GB2312" w:eastAsia="仿宋_GB2312" w:cs="仿宋_GB2312"/>
          <w:bCs/>
          <w:kern w:val="0"/>
          <w:sz w:val="32"/>
          <w:szCs w:val="32"/>
        </w:rPr>
        <w:t>、津贴补贴</w:t>
      </w:r>
      <w:r>
        <w:rPr>
          <w:rFonts w:hint="eastAsia" w:ascii="仿宋_GB2312" w:eastAsia="仿宋_GB2312" w:cs="仿宋_GB2312"/>
          <w:bCs/>
          <w:kern w:val="0"/>
          <w:sz w:val="32"/>
          <w:szCs w:val="32"/>
          <w:lang w:val="en-US" w:eastAsia="zh-CN"/>
        </w:rPr>
        <w:t>89.28万元</w:t>
      </w:r>
      <w:r>
        <w:rPr>
          <w:rFonts w:hint="eastAsia" w:ascii="仿宋_GB2312" w:eastAsia="仿宋_GB2312" w:cs="仿宋_GB2312"/>
          <w:bCs/>
          <w:kern w:val="0"/>
          <w:sz w:val="32"/>
          <w:szCs w:val="32"/>
        </w:rPr>
        <w:t>、 奖金</w:t>
      </w:r>
      <w:r>
        <w:rPr>
          <w:rFonts w:hint="eastAsia" w:ascii="仿宋_GB2312" w:eastAsia="仿宋_GB2312" w:cs="仿宋_GB2312"/>
          <w:bCs/>
          <w:kern w:val="0"/>
          <w:sz w:val="32"/>
          <w:szCs w:val="32"/>
          <w:lang w:val="en-US" w:eastAsia="zh-CN"/>
        </w:rPr>
        <w:t>17.63万元</w:t>
      </w:r>
      <w:r>
        <w:rPr>
          <w:rFonts w:hint="eastAsia" w:ascii="仿宋_GB2312" w:eastAsia="仿宋_GB2312" w:cs="仿宋_GB2312"/>
          <w:bCs/>
          <w:kern w:val="0"/>
          <w:sz w:val="32"/>
          <w:szCs w:val="32"/>
        </w:rPr>
        <w:t>、伙食补助费</w:t>
      </w:r>
      <w:r>
        <w:rPr>
          <w:rFonts w:hint="eastAsia" w:ascii="仿宋_GB2312" w:eastAsia="仿宋_GB2312" w:cs="仿宋_GB2312"/>
          <w:bCs/>
          <w:kern w:val="0"/>
          <w:sz w:val="32"/>
          <w:szCs w:val="32"/>
          <w:lang w:val="en-US" w:eastAsia="zh-CN"/>
        </w:rPr>
        <w:t>7.33万元</w:t>
      </w:r>
      <w:r>
        <w:rPr>
          <w:rFonts w:hint="eastAsia" w:ascii="仿宋_GB2312" w:eastAsia="仿宋_GB2312" w:cs="仿宋_GB2312"/>
          <w:bCs/>
          <w:kern w:val="0"/>
          <w:sz w:val="32"/>
          <w:szCs w:val="32"/>
        </w:rPr>
        <w:t>、绩效工资</w:t>
      </w:r>
      <w:r>
        <w:rPr>
          <w:rFonts w:hint="eastAsia" w:ascii="仿宋_GB2312" w:eastAsia="仿宋_GB2312" w:cs="仿宋_GB2312"/>
          <w:bCs/>
          <w:kern w:val="0"/>
          <w:sz w:val="32"/>
          <w:szCs w:val="32"/>
          <w:lang w:val="en-US" w:eastAsia="zh-CN"/>
        </w:rPr>
        <w:t>2,387.35万元</w:t>
      </w:r>
      <w:r>
        <w:rPr>
          <w:rFonts w:hint="eastAsia" w:ascii="仿宋_GB2312" w:eastAsia="仿宋_GB2312" w:cs="仿宋_GB2312"/>
          <w:bCs/>
          <w:kern w:val="0"/>
          <w:sz w:val="32"/>
          <w:szCs w:val="32"/>
        </w:rPr>
        <w:t>、机关事业单位基本养老保险缴费</w:t>
      </w:r>
      <w:r>
        <w:rPr>
          <w:rFonts w:hint="eastAsia" w:ascii="仿宋_GB2312" w:eastAsia="仿宋_GB2312" w:cs="仿宋_GB2312"/>
          <w:bCs/>
          <w:kern w:val="0"/>
          <w:sz w:val="32"/>
          <w:szCs w:val="32"/>
          <w:lang w:val="en-US" w:eastAsia="zh-CN"/>
        </w:rPr>
        <w:t>640.31万元</w:t>
      </w:r>
      <w:r>
        <w:rPr>
          <w:rFonts w:hint="eastAsia" w:ascii="仿宋_GB2312" w:eastAsia="仿宋_GB2312" w:cs="仿宋_GB2312"/>
          <w:bCs/>
          <w:kern w:val="0"/>
          <w:sz w:val="32"/>
          <w:szCs w:val="32"/>
        </w:rPr>
        <w:t>、职业年金缴费</w:t>
      </w:r>
      <w:r>
        <w:rPr>
          <w:rFonts w:hint="eastAsia" w:ascii="仿宋_GB2312" w:eastAsia="仿宋_GB2312" w:cs="仿宋_GB2312"/>
          <w:bCs/>
          <w:kern w:val="0"/>
          <w:sz w:val="32"/>
          <w:szCs w:val="32"/>
          <w:lang w:val="en-US" w:eastAsia="zh-CN"/>
        </w:rPr>
        <w:t>280.60万元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职工基本医疗保险</w:t>
      </w:r>
      <w:r>
        <w:rPr>
          <w:rFonts w:hint="eastAsia" w:ascii="仿宋_GB2312" w:eastAsia="仿宋_GB2312" w:cs="仿宋_GB2312"/>
          <w:bCs/>
          <w:kern w:val="0"/>
          <w:sz w:val="32"/>
          <w:szCs w:val="32"/>
          <w:lang w:val="en-US" w:eastAsia="zh-CN"/>
        </w:rPr>
        <w:t>258.05万元，公务员医疗补助缴费435.74万元，</w:t>
      </w:r>
      <w:r>
        <w:rPr>
          <w:rFonts w:hint="eastAsia" w:ascii="仿宋_GB2312" w:eastAsia="仿宋_GB2312" w:cs="仿宋_GB2312"/>
          <w:bCs/>
          <w:kern w:val="0"/>
          <w:sz w:val="32"/>
          <w:szCs w:val="32"/>
        </w:rPr>
        <w:t>其他社会保障缴费</w:t>
      </w:r>
      <w:r>
        <w:rPr>
          <w:rFonts w:hint="eastAsia" w:ascii="仿宋_GB2312" w:eastAsia="仿宋_GB2312" w:cs="仿宋_GB2312"/>
          <w:bCs/>
          <w:kern w:val="0"/>
          <w:sz w:val="32"/>
          <w:szCs w:val="32"/>
          <w:lang w:val="en-US" w:eastAsia="zh-CN"/>
        </w:rPr>
        <w:t>24.59万元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lang w:val="en-US" w:eastAsia="zh-CN"/>
        </w:rPr>
        <w:t>530.55万元，</w:t>
      </w:r>
      <w:r>
        <w:rPr>
          <w:rFonts w:hint="eastAsia" w:ascii="仿宋_GB2312" w:eastAsia="仿宋_GB2312" w:cs="仿宋_GB2312"/>
          <w:bCs/>
          <w:kern w:val="0"/>
          <w:sz w:val="32"/>
          <w:szCs w:val="32"/>
        </w:rPr>
        <w:t>其他工资福利支出</w:t>
      </w:r>
      <w:r>
        <w:rPr>
          <w:rFonts w:hint="eastAsia" w:ascii="仿宋_GB2312" w:eastAsia="仿宋_GB2312" w:cs="仿宋_GB2312"/>
          <w:bCs/>
          <w:kern w:val="0"/>
          <w:sz w:val="32"/>
          <w:szCs w:val="32"/>
          <w:lang w:val="en-US" w:eastAsia="zh-CN"/>
        </w:rPr>
        <w:t>8.05万元</w:t>
      </w:r>
      <w:r>
        <w:rPr>
          <w:rFonts w:hint="eastAsia" w:ascii="仿宋_GB2312" w:eastAsia="仿宋_GB2312" w:cs="仿宋_GB2312"/>
          <w:bCs/>
          <w:kern w:val="0"/>
          <w:sz w:val="32"/>
          <w:szCs w:val="32"/>
        </w:rPr>
        <w:t>、 退休费</w:t>
      </w:r>
      <w:r>
        <w:rPr>
          <w:rFonts w:hint="eastAsia" w:ascii="仿宋_GB2312" w:eastAsia="仿宋_GB2312" w:cs="仿宋_GB2312"/>
          <w:bCs/>
          <w:kern w:val="0"/>
          <w:sz w:val="32"/>
          <w:szCs w:val="32"/>
          <w:lang w:val="en-US" w:eastAsia="zh-CN"/>
        </w:rPr>
        <w:t>133.80万元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助学金</w:t>
      </w:r>
      <w:r>
        <w:rPr>
          <w:rFonts w:hint="eastAsia" w:ascii="仿宋_GB2312" w:eastAsia="仿宋_GB2312" w:cs="仿宋_GB2312"/>
          <w:bCs/>
          <w:kern w:val="0"/>
          <w:sz w:val="32"/>
          <w:szCs w:val="32"/>
          <w:lang w:val="en-US" w:eastAsia="zh-CN"/>
        </w:rPr>
        <w:t>1.30万元、</w:t>
      </w:r>
      <w:r>
        <w:rPr>
          <w:rFonts w:hint="eastAsia" w:ascii="仿宋_GB2312" w:eastAsia="仿宋_GB2312" w:cs="仿宋_GB2312"/>
          <w:bCs/>
          <w:kern w:val="0"/>
          <w:sz w:val="32"/>
          <w:szCs w:val="32"/>
        </w:rPr>
        <w:t>奖励金</w:t>
      </w:r>
      <w:r>
        <w:rPr>
          <w:rFonts w:hint="eastAsia" w:ascii="仿宋_GB2312" w:eastAsia="仿宋_GB2312" w:cs="仿宋_GB2312"/>
          <w:bCs/>
          <w:kern w:val="0"/>
          <w:sz w:val="32"/>
          <w:szCs w:val="32"/>
          <w:lang w:val="en-US" w:eastAsia="zh-CN"/>
        </w:rPr>
        <w:t>3.45万元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其他对个人和家庭的补助</w:t>
      </w:r>
      <w:r>
        <w:rPr>
          <w:rFonts w:hint="eastAsia" w:ascii="仿宋_GB2312" w:eastAsia="仿宋_GB2312" w:cs="仿宋_GB2312"/>
          <w:bCs/>
          <w:kern w:val="0"/>
          <w:sz w:val="32"/>
          <w:szCs w:val="32"/>
          <w:lang w:val="en-US" w:eastAsia="zh-CN"/>
        </w:rPr>
        <w:t>3.15万元。</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751.68</w:t>
      </w:r>
      <w:r>
        <w:rPr>
          <w:rFonts w:hint="eastAsia" w:ascii="仿宋_GB2312" w:eastAsia="仿宋_GB2312" w:cs="仿宋_GB2312"/>
          <w:bCs/>
          <w:kern w:val="0"/>
          <w:sz w:val="32"/>
          <w:szCs w:val="32"/>
        </w:rPr>
        <w:t>万元，主要包括：办公费</w:t>
      </w:r>
      <w:r>
        <w:rPr>
          <w:rFonts w:hint="eastAsia" w:ascii="仿宋_GB2312" w:eastAsia="仿宋_GB2312" w:cs="仿宋_GB2312"/>
          <w:bCs/>
          <w:kern w:val="0"/>
          <w:sz w:val="32"/>
          <w:szCs w:val="32"/>
          <w:lang w:val="en-US" w:eastAsia="zh-CN"/>
        </w:rPr>
        <w:t>3.20万元</w:t>
      </w:r>
      <w:r>
        <w:rPr>
          <w:rFonts w:hint="eastAsia" w:ascii="仿宋_GB2312" w:eastAsia="仿宋_GB2312" w:cs="仿宋_GB2312"/>
          <w:bCs/>
          <w:kern w:val="0"/>
          <w:sz w:val="32"/>
          <w:szCs w:val="32"/>
        </w:rPr>
        <w:t>、印刷费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、咨询费</w:t>
      </w:r>
      <w:r>
        <w:rPr>
          <w:rFonts w:hint="eastAsia" w:ascii="仿宋_GB2312" w:eastAsia="仿宋_GB2312" w:cs="仿宋_GB2312"/>
          <w:bCs/>
          <w:kern w:val="0"/>
          <w:sz w:val="32"/>
          <w:szCs w:val="32"/>
          <w:lang w:val="en-US" w:eastAsia="zh-CN"/>
        </w:rPr>
        <w:t>0.30万元</w:t>
      </w:r>
      <w:r>
        <w:rPr>
          <w:rFonts w:hint="eastAsia" w:ascii="仿宋_GB2312" w:eastAsia="仿宋_GB2312" w:cs="仿宋_GB2312"/>
          <w:bCs/>
          <w:kern w:val="0"/>
          <w:sz w:val="32"/>
          <w:szCs w:val="32"/>
        </w:rPr>
        <w:t>、手续费</w:t>
      </w:r>
      <w:r>
        <w:rPr>
          <w:rFonts w:hint="eastAsia" w:ascii="仿宋_GB2312" w:eastAsia="仿宋_GB2312" w:cs="仿宋_GB2312"/>
          <w:bCs/>
          <w:kern w:val="0"/>
          <w:sz w:val="32"/>
          <w:szCs w:val="32"/>
          <w:lang w:val="en-US" w:eastAsia="zh-CN"/>
        </w:rPr>
        <w:t>0.03万元</w:t>
      </w:r>
      <w:r>
        <w:rPr>
          <w:rFonts w:hint="eastAsia" w:ascii="仿宋_GB2312" w:eastAsia="仿宋_GB2312" w:cs="仿宋_GB2312"/>
          <w:bCs/>
          <w:kern w:val="0"/>
          <w:sz w:val="32"/>
          <w:szCs w:val="32"/>
        </w:rPr>
        <w:t>、水费</w:t>
      </w:r>
      <w:r>
        <w:rPr>
          <w:rFonts w:hint="eastAsia" w:ascii="仿宋_GB2312" w:eastAsia="仿宋_GB2312" w:cs="仿宋_GB2312"/>
          <w:bCs/>
          <w:kern w:val="0"/>
          <w:sz w:val="32"/>
          <w:szCs w:val="32"/>
          <w:lang w:val="en-US" w:eastAsia="zh-CN"/>
        </w:rPr>
        <w:t>108.66万元</w:t>
      </w:r>
      <w:r>
        <w:rPr>
          <w:rFonts w:hint="eastAsia" w:ascii="仿宋_GB2312" w:eastAsia="仿宋_GB2312" w:cs="仿宋_GB2312"/>
          <w:bCs/>
          <w:kern w:val="0"/>
          <w:sz w:val="32"/>
          <w:szCs w:val="32"/>
        </w:rPr>
        <w:t>、电费</w:t>
      </w:r>
      <w:r>
        <w:rPr>
          <w:rFonts w:hint="eastAsia" w:ascii="仿宋_GB2312" w:eastAsia="仿宋_GB2312" w:cs="仿宋_GB2312"/>
          <w:bCs/>
          <w:kern w:val="0"/>
          <w:sz w:val="32"/>
          <w:szCs w:val="32"/>
          <w:lang w:val="en-US" w:eastAsia="zh-CN"/>
        </w:rPr>
        <w:t>173.26万元</w:t>
      </w:r>
      <w:r>
        <w:rPr>
          <w:rFonts w:hint="eastAsia" w:ascii="仿宋_GB2312" w:eastAsia="仿宋_GB2312" w:cs="仿宋_GB2312"/>
          <w:bCs/>
          <w:kern w:val="0"/>
          <w:sz w:val="32"/>
          <w:szCs w:val="32"/>
        </w:rPr>
        <w:t>、邮电费</w:t>
      </w:r>
      <w:r>
        <w:rPr>
          <w:rFonts w:hint="eastAsia" w:ascii="仿宋_GB2312" w:eastAsia="仿宋_GB2312" w:cs="仿宋_GB2312"/>
          <w:bCs/>
          <w:kern w:val="0"/>
          <w:sz w:val="32"/>
          <w:szCs w:val="32"/>
          <w:lang w:val="en-US" w:eastAsia="zh-CN"/>
        </w:rPr>
        <w:t>35.06万元</w:t>
      </w:r>
      <w:r>
        <w:rPr>
          <w:rFonts w:hint="eastAsia" w:ascii="仿宋_GB2312" w:eastAsia="仿宋_GB2312" w:cs="仿宋_GB2312"/>
          <w:bCs/>
          <w:kern w:val="0"/>
          <w:sz w:val="32"/>
          <w:szCs w:val="32"/>
        </w:rPr>
        <w:t>、取暖费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、物业管理费</w:t>
      </w:r>
      <w:r>
        <w:rPr>
          <w:rFonts w:hint="eastAsia" w:ascii="仿宋_GB2312" w:eastAsia="仿宋_GB2312" w:cs="仿宋_GB2312"/>
          <w:bCs/>
          <w:kern w:val="0"/>
          <w:sz w:val="32"/>
          <w:szCs w:val="32"/>
          <w:lang w:val="en-US" w:eastAsia="zh-CN"/>
        </w:rPr>
        <w:t>134.60万元</w:t>
      </w:r>
      <w:r>
        <w:rPr>
          <w:rFonts w:hint="eastAsia" w:ascii="仿宋_GB2312" w:eastAsia="仿宋_GB2312" w:cs="仿宋_GB2312"/>
          <w:bCs/>
          <w:kern w:val="0"/>
          <w:sz w:val="32"/>
          <w:szCs w:val="32"/>
        </w:rPr>
        <w:t>、差旅费</w:t>
      </w:r>
      <w:r>
        <w:rPr>
          <w:rFonts w:hint="eastAsia" w:ascii="仿宋_GB2312" w:eastAsia="仿宋_GB2312" w:cs="仿宋_GB2312"/>
          <w:bCs/>
          <w:kern w:val="0"/>
          <w:sz w:val="32"/>
          <w:szCs w:val="32"/>
          <w:lang w:val="en-US" w:eastAsia="zh-CN"/>
        </w:rPr>
        <w:t>1.78万元</w:t>
      </w:r>
      <w:r>
        <w:rPr>
          <w:rFonts w:hint="eastAsia" w:ascii="仿宋_GB2312" w:eastAsia="仿宋_GB2312" w:cs="仿宋_GB2312"/>
          <w:bCs/>
          <w:kern w:val="0"/>
          <w:sz w:val="32"/>
          <w:szCs w:val="32"/>
        </w:rPr>
        <w:t>、因公出国（境）费用</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、维 修（护）费</w:t>
      </w:r>
      <w:r>
        <w:rPr>
          <w:rFonts w:hint="eastAsia" w:ascii="仿宋_GB2312" w:eastAsia="仿宋_GB2312" w:cs="仿宋_GB2312"/>
          <w:bCs/>
          <w:kern w:val="0"/>
          <w:sz w:val="32"/>
          <w:szCs w:val="32"/>
          <w:lang w:val="en-US" w:eastAsia="zh-CN"/>
        </w:rPr>
        <w:t>34.00万元</w:t>
      </w:r>
      <w:r>
        <w:rPr>
          <w:rFonts w:hint="eastAsia" w:ascii="仿宋_GB2312" w:eastAsia="仿宋_GB2312" w:cs="仿宋_GB2312"/>
          <w:bCs/>
          <w:kern w:val="0"/>
          <w:sz w:val="32"/>
          <w:szCs w:val="32"/>
        </w:rPr>
        <w:t>、租赁费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、会议费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、培训费</w:t>
      </w:r>
      <w:r>
        <w:rPr>
          <w:rFonts w:hint="eastAsia" w:ascii="仿宋_GB2312" w:eastAsia="仿宋_GB2312" w:cs="仿宋_GB2312"/>
          <w:bCs/>
          <w:kern w:val="0"/>
          <w:sz w:val="32"/>
          <w:szCs w:val="32"/>
          <w:lang w:val="en-US" w:eastAsia="zh-CN"/>
        </w:rPr>
        <w:t>0.32万元</w:t>
      </w:r>
      <w:r>
        <w:rPr>
          <w:rFonts w:hint="eastAsia" w:ascii="仿宋_GB2312" w:eastAsia="仿宋_GB2312" w:cs="仿宋_GB2312"/>
          <w:bCs/>
          <w:kern w:val="0"/>
          <w:sz w:val="32"/>
          <w:szCs w:val="32"/>
        </w:rPr>
        <w:t>、公务接待费</w:t>
      </w:r>
      <w:r>
        <w:rPr>
          <w:rFonts w:hint="eastAsia" w:ascii="仿宋_GB2312" w:eastAsia="仿宋_GB2312" w:cs="仿宋_GB2312"/>
          <w:bCs/>
          <w:kern w:val="0"/>
          <w:sz w:val="32"/>
          <w:szCs w:val="32"/>
          <w:lang w:val="en-US" w:eastAsia="zh-CN"/>
        </w:rPr>
        <w:t>0.61万元</w:t>
      </w:r>
      <w:r>
        <w:rPr>
          <w:rFonts w:hint="eastAsia" w:ascii="仿宋_GB2312" w:eastAsia="仿宋_GB2312" w:cs="仿宋_GB2312"/>
          <w:bCs/>
          <w:kern w:val="0"/>
          <w:sz w:val="32"/>
          <w:szCs w:val="32"/>
        </w:rPr>
        <w:t>、专用材料费</w:t>
      </w:r>
      <w:r>
        <w:rPr>
          <w:rFonts w:hint="eastAsia" w:ascii="仿宋_GB2312" w:eastAsia="仿宋_GB2312" w:cs="仿宋_GB2312"/>
          <w:bCs/>
          <w:kern w:val="0"/>
          <w:sz w:val="32"/>
          <w:szCs w:val="32"/>
          <w:lang w:val="en-US" w:eastAsia="zh-CN"/>
        </w:rPr>
        <w:t>11.21万元</w:t>
      </w:r>
      <w:r>
        <w:rPr>
          <w:rFonts w:hint="eastAsia" w:ascii="仿宋_GB2312" w:eastAsia="仿宋_GB2312" w:cs="仿宋_GB2312"/>
          <w:bCs/>
          <w:kern w:val="0"/>
          <w:sz w:val="32"/>
          <w:szCs w:val="32"/>
        </w:rPr>
        <w:t>、劳务费</w:t>
      </w:r>
      <w:r>
        <w:rPr>
          <w:rFonts w:hint="eastAsia" w:ascii="仿宋_GB2312" w:eastAsia="仿宋_GB2312" w:cs="仿宋_GB2312"/>
          <w:bCs/>
          <w:kern w:val="0"/>
          <w:sz w:val="32"/>
          <w:szCs w:val="32"/>
          <w:lang w:val="en-US" w:eastAsia="zh-CN"/>
        </w:rPr>
        <w:t>3.34万元</w:t>
      </w:r>
      <w:r>
        <w:rPr>
          <w:rFonts w:hint="eastAsia" w:ascii="仿宋_GB2312" w:eastAsia="仿宋_GB2312" w:cs="仿宋_GB2312"/>
          <w:bCs/>
          <w:kern w:val="0"/>
          <w:sz w:val="32"/>
          <w:szCs w:val="32"/>
        </w:rPr>
        <w:t>、委托业务费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、工会经费</w:t>
      </w:r>
      <w:r>
        <w:rPr>
          <w:rFonts w:hint="eastAsia" w:ascii="仿宋_GB2312" w:eastAsia="仿宋_GB2312" w:cs="仿宋_GB2312"/>
          <w:bCs/>
          <w:kern w:val="0"/>
          <w:sz w:val="32"/>
          <w:szCs w:val="32"/>
          <w:lang w:val="en-US" w:eastAsia="zh-CN"/>
        </w:rPr>
        <w:t>104.24万元</w:t>
      </w:r>
      <w:r>
        <w:rPr>
          <w:rFonts w:hint="eastAsia" w:ascii="仿宋_GB2312" w:eastAsia="仿宋_GB2312" w:cs="仿宋_GB2312"/>
          <w:bCs/>
          <w:kern w:val="0"/>
          <w:sz w:val="32"/>
          <w:szCs w:val="32"/>
        </w:rPr>
        <w:t>、福利费</w:t>
      </w:r>
      <w:r>
        <w:rPr>
          <w:rFonts w:hint="eastAsia" w:ascii="仿宋_GB2312" w:eastAsia="仿宋_GB2312" w:cs="仿宋_GB2312"/>
          <w:bCs/>
          <w:kern w:val="0"/>
          <w:sz w:val="32"/>
          <w:szCs w:val="32"/>
          <w:lang w:val="en-US" w:eastAsia="zh-CN"/>
        </w:rPr>
        <w:t>0.09万元</w:t>
      </w:r>
      <w:r>
        <w:rPr>
          <w:rFonts w:hint="eastAsia" w:ascii="仿宋_GB2312" w:eastAsia="仿宋_GB2312" w:cs="仿宋_GB2312"/>
          <w:bCs/>
          <w:kern w:val="0"/>
          <w:sz w:val="32"/>
          <w:szCs w:val="32"/>
        </w:rPr>
        <w:t>、公务用车运行维护费</w:t>
      </w:r>
      <w:r>
        <w:rPr>
          <w:rFonts w:hint="eastAsia" w:ascii="仿宋_GB2312" w:eastAsia="仿宋_GB2312" w:cs="仿宋_GB2312"/>
          <w:bCs/>
          <w:kern w:val="0"/>
          <w:sz w:val="32"/>
          <w:szCs w:val="32"/>
          <w:lang w:val="en-US" w:eastAsia="zh-CN"/>
        </w:rPr>
        <w:t>3.99万元</w:t>
      </w:r>
      <w:r>
        <w:rPr>
          <w:rFonts w:hint="eastAsia" w:ascii="仿宋_GB2312" w:eastAsia="仿宋_GB2312" w:cs="仿宋_GB2312"/>
          <w:bCs/>
          <w:kern w:val="0"/>
          <w:sz w:val="32"/>
          <w:szCs w:val="32"/>
        </w:rPr>
        <w:t>、其他交通费用</w:t>
      </w:r>
      <w:r>
        <w:rPr>
          <w:rFonts w:hint="eastAsia" w:ascii="仿宋_GB2312" w:eastAsia="仿宋_GB2312" w:cs="仿宋_GB2312"/>
          <w:bCs/>
          <w:kern w:val="0"/>
          <w:sz w:val="32"/>
          <w:szCs w:val="32"/>
          <w:lang w:val="en-US" w:eastAsia="zh-CN"/>
        </w:rPr>
        <w:t>17.11万元，</w:t>
      </w:r>
      <w:r>
        <w:rPr>
          <w:rFonts w:hint="eastAsia" w:ascii="仿宋_GB2312" w:eastAsia="仿宋_GB2312" w:cs="仿宋_GB2312"/>
          <w:bCs/>
          <w:kern w:val="0"/>
          <w:sz w:val="32"/>
          <w:szCs w:val="32"/>
        </w:rPr>
        <w:t>、税金及附加费用</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、其他商品和服务支出</w:t>
      </w:r>
      <w:r>
        <w:rPr>
          <w:rFonts w:hint="eastAsia" w:ascii="仿宋_GB2312" w:eastAsia="仿宋_GB2312" w:cs="仿宋_GB2312"/>
          <w:bCs/>
          <w:kern w:val="0"/>
          <w:sz w:val="32"/>
          <w:szCs w:val="32"/>
          <w:lang w:val="en-US" w:eastAsia="zh-CN"/>
        </w:rPr>
        <w:t>90.87万元</w:t>
      </w:r>
      <w:r>
        <w:rPr>
          <w:rFonts w:hint="eastAsia" w:ascii="仿宋_GB2312" w:eastAsia="仿宋_GB2312" w:cs="仿宋_GB2312"/>
          <w:bCs/>
          <w:kern w:val="0"/>
          <w:sz w:val="32"/>
          <w:szCs w:val="32"/>
        </w:rPr>
        <w:t>、办公设备购置</w:t>
      </w:r>
      <w:r>
        <w:rPr>
          <w:rFonts w:hint="eastAsia" w:ascii="仿宋_GB2312" w:eastAsia="仿宋_GB2312" w:cs="仿宋_GB2312"/>
          <w:bCs/>
          <w:kern w:val="0"/>
          <w:sz w:val="32"/>
          <w:szCs w:val="32"/>
          <w:lang w:val="en-US" w:eastAsia="zh-CN"/>
        </w:rPr>
        <w:t>1.25万元</w:t>
      </w:r>
      <w:r>
        <w:rPr>
          <w:rFonts w:hint="eastAsia" w:ascii="仿宋_GB2312" w:eastAsia="仿宋_GB2312" w:cs="仿宋_GB2312"/>
          <w:bCs/>
          <w:kern w:val="0"/>
          <w:sz w:val="32"/>
          <w:szCs w:val="32"/>
        </w:rPr>
        <w:t>、专用设备购置</w:t>
      </w:r>
      <w:r>
        <w:rPr>
          <w:rFonts w:hint="eastAsia" w:ascii="仿宋_GB2312" w:eastAsia="仿宋_GB2312" w:cs="仿宋_GB2312"/>
          <w:bCs/>
          <w:kern w:val="0"/>
          <w:sz w:val="32"/>
          <w:szCs w:val="32"/>
          <w:lang w:val="en-US" w:eastAsia="zh-CN"/>
        </w:rPr>
        <w:t>23.06万元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其他资本性支出</w:t>
      </w:r>
      <w:r>
        <w:rPr>
          <w:rFonts w:hint="eastAsia" w:ascii="仿宋_GB2312" w:eastAsia="仿宋_GB2312" w:cs="仿宋_GB2312"/>
          <w:bCs/>
          <w:kern w:val="0"/>
          <w:sz w:val="32"/>
          <w:szCs w:val="32"/>
          <w:lang w:val="en-US" w:eastAsia="zh-CN"/>
        </w:rPr>
        <w:t>4.69万元。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（根据实际情况作表述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2020 年度“三公”经费财政拨款支出预算为 </w:t>
      </w:r>
      <w:r>
        <w:rPr>
          <w:rFonts w:hint="eastAsia" w:ascii="仿宋_GB2312" w:eastAsia="仿宋_GB2312" w:cs="仿宋_GB2312"/>
          <w:bCs/>
          <w:kern w:val="0"/>
          <w:sz w:val="32"/>
          <w:szCs w:val="32"/>
          <w:lang w:val="en-US" w:eastAsia="zh-CN"/>
        </w:rPr>
        <w:t>65.00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11.22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17.26%</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因新冠肺炎疫情，</w:t>
      </w:r>
      <w:r>
        <w:rPr>
          <w:rFonts w:hint="eastAsia" w:ascii="仿宋_GB2312" w:eastAsia="仿宋_GB2312" w:cs="仿宋_GB2312"/>
          <w:bCs/>
          <w:kern w:val="0"/>
          <w:sz w:val="32"/>
          <w:szCs w:val="32"/>
          <w:lang w:val="en-US" w:eastAsia="zh-CN"/>
        </w:rPr>
        <w:t>2020年没有因公出国（境）支出</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9.82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49.10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1.40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28</w:t>
      </w:r>
      <w:r>
        <w:rPr>
          <w:rFonts w:hint="eastAsia" w:ascii="仿宋_GB2312" w:eastAsia="仿宋_GB2312" w:cs="仿宋_GB2312"/>
          <w:bCs/>
          <w:kern w:val="0"/>
          <w:sz w:val="32"/>
          <w:szCs w:val="32"/>
        </w:rPr>
        <w:t>%。2020年度“三公”经费支出决算数小于预算数的主要原因是认真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4.04</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26.47</w:t>
      </w:r>
      <w:r>
        <w:rPr>
          <w:rFonts w:hint="eastAsia" w:ascii="仿宋_GB2312" w:eastAsia="仿宋_GB2312" w:cs="仿宋_GB2312"/>
          <w:bCs/>
          <w:kern w:val="0"/>
          <w:sz w:val="32"/>
          <w:szCs w:val="32"/>
        </w:rPr>
        <w:t>%，其中：因公出国（境）费支出决算减少</w:t>
      </w:r>
      <w:r>
        <w:rPr>
          <w:rFonts w:hint="eastAsia" w:ascii="仿宋_GB2312" w:eastAsia="仿宋_GB2312" w:cs="仿宋_GB2312"/>
          <w:bCs/>
          <w:kern w:val="0"/>
          <w:sz w:val="32"/>
          <w:szCs w:val="32"/>
          <w:lang w:val="en-US" w:eastAsia="zh-CN"/>
        </w:rPr>
        <w:t>4.04</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%；公务用车购置及运行费支出决算减少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因公出国（境）费支出减少的主要原因是</w:t>
      </w:r>
      <w:r>
        <w:rPr>
          <w:rFonts w:hint="eastAsia" w:ascii="仿宋_GB2312" w:eastAsia="仿宋_GB2312" w:cs="仿宋_GB2312"/>
          <w:bCs/>
          <w:kern w:val="0"/>
          <w:sz w:val="32"/>
          <w:szCs w:val="32"/>
          <w:lang w:eastAsia="zh-CN"/>
        </w:rPr>
        <w:t>新冠肺炎疫情</w:t>
      </w:r>
      <w:r>
        <w:rPr>
          <w:rFonts w:hint="eastAsia" w:ascii="仿宋_GB2312" w:eastAsia="仿宋_GB2312" w:cs="仿宋_GB2312"/>
          <w:bCs/>
          <w:kern w:val="0"/>
          <w:sz w:val="32"/>
          <w:szCs w:val="32"/>
          <w:lang w:val="en-US" w:eastAsia="zh-CN"/>
        </w:rPr>
        <w:t>2020年没有因公出国（境）活动，支出为0</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 支出决算</w:t>
      </w:r>
      <w:r>
        <w:rPr>
          <w:rFonts w:hint="eastAsia" w:ascii="仿宋_GB2312" w:eastAsia="仿宋_GB2312" w:cs="仿宋_GB2312"/>
          <w:bCs/>
          <w:kern w:val="0"/>
          <w:sz w:val="32"/>
          <w:szCs w:val="32"/>
          <w:lang w:val="en-US" w:eastAsia="zh-CN"/>
        </w:rPr>
        <w:t>9.82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87.52</w:t>
      </w:r>
      <w:r>
        <w:rPr>
          <w:rFonts w:hint="eastAsia" w:ascii="仿宋_GB2312" w:eastAsia="仿宋_GB2312" w:cs="仿宋_GB2312"/>
          <w:bCs/>
          <w:kern w:val="0"/>
          <w:sz w:val="32"/>
          <w:szCs w:val="32"/>
        </w:rPr>
        <w:t xml:space="preserve"> %；公务接待费支出决算</w:t>
      </w:r>
      <w:r>
        <w:rPr>
          <w:rFonts w:hint="eastAsia" w:ascii="仿宋_GB2312" w:eastAsia="仿宋_GB2312" w:cs="仿宋_GB2312"/>
          <w:bCs/>
          <w:kern w:val="0"/>
          <w:sz w:val="32"/>
          <w:szCs w:val="32"/>
          <w:lang w:val="en-US" w:eastAsia="zh-CN"/>
        </w:rPr>
        <w:t>1.40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12.48</w:t>
      </w:r>
      <w:r>
        <w:rPr>
          <w:rFonts w:hint="eastAsia" w:ascii="仿宋_GB2312" w:eastAsia="仿宋_GB2312" w:cs="仿宋_GB2312"/>
          <w:bCs/>
          <w:kern w:val="0"/>
          <w:sz w:val="32"/>
          <w:szCs w:val="32"/>
        </w:rPr>
        <w:t xml:space="preserve"> %。具体情况如下：  </w:t>
      </w:r>
    </w:p>
    <w:p>
      <w:pPr>
        <w:numPr>
          <w:ilvl w:val="0"/>
          <w:numId w:val="0"/>
        </w:numPr>
        <w:autoSpaceDE w:val="0"/>
        <w:autoSpaceDN w:val="0"/>
        <w:adjustRightInd w:val="0"/>
        <w:spacing w:line="580" w:lineRule="exact"/>
        <w:ind w:firstLine="320" w:firstLineChars="1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   </w:t>
      </w:r>
    </w:p>
    <w:p>
      <w:pPr>
        <w:autoSpaceDE w:val="0"/>
        <w:autoSpaceDN w:val="0"/>
        <w:adjustRightInd w:val="0"/>
        <w:spacing w:line="58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9.82</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9.82</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车辆燃油费</w:t>
      </w:r>
      <w:r>
        <w:rPr>
          <w:rFonts w:hint="eastAsia" w:ascii="仿宋_GB2312" w:eastAsia="仿宋_GB2312" w:cs="仿宋_GB2312"/>
          <w:bCs/>
          <w:kern w:val="0"/>
          <w:sz w:val="32"/>
          <w:szCs w:val="32"/>
          <w:lang w:val="en-US" w:eastAsia="zh-CN"/>
        </w:rPr>
        <w:t>4.43万元，修理费4.42万元，停车费过路费0.75万元，车辆年审费0.13万元，保险费0.09万元</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辆</w:t>
      </w:r>
      <w:r>
        <w:rPr>
          <w:rFonts w:hint="eastAsia" w:ascii="仿宋_GB2312" w:eastAsia="仿宋_GB2312" w:cs="仿宋_GB2312"/>
          <w:bCs/>
          <w:kern w:val="0"/>
          <w:sz w:val="32"/>
          <w:szCs w:val="32"/>
          <w:lang w:eastAsia="zh-CN"/>
        </w:rPr>
        <w:t>，为接送员工上下班的大巴校车。</w:t>
      </w:r>
      <w:r>
        <w:rPr>
          <w:rFonts w:hint="eastAsia"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1.40</w:t>
      </w:r>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2020年</w:t>
      </w:r>
      <w:r>
        <w:rPr>
          <w:rFonts w:hint="eastAsia" w:ascii="仿宋_GB2312" w:eastAsia="仿宋_GB2312" w:cs="仿宋_GB2312"/>
          <w:bCs/>
          <w:kern w:val="0"/>
          <w:sz w:val="32"/>
          <w:szCs w:val="32"/>
          <w:lang w:eastAsia="zh-CN"/>
        </w:rPr>
        <w:t>没有</w:t>
      </w:r>
      <w:r>
        <w:rPr>
          <w:rFonts w:hint="eastAsia" w:ascii="仿宋_GB2312" w:eastAsia="仿宋_GB2312" w:cs="仿宋_GB2312"/>
          <w:bCs/>
          <w:kern w:val="0"/>
          <w:sz w:val="32"/>
          <w:szCs w:val="32"/>
        </w:rPr>
        <w:t>外宾接待支出。</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（2）2020年</w:t>
      </w: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1.40</w:t>
      </w:r>
      <w:r>
        <w:rPr>
          <w:rFonts w:hint="eastAsia" w:ascii="仿宋_GB2312" w:eastAsia="仿宋_GB2312" w:cs="仿宋_GB2312"/>
          <w:bCs/>
          <w:kern w:val="0"/>
          <w:sz w:val="32"/>
          <w:szCs w:val="32"/>
        </w:rPr>
        <w:t>万元。主要</w:t>
      </w:r>
      <w:r>
        <w:rPr>
          <w:rFonts w:hint="eastAsia" w:ascii="仿宋_GB2312" w:eastAsia="仿宋_GB2312" w:cs="仿宋_GB2312"/>
          <w:bCs/>
          <w:kern w:val="0"/>
          <w:sz w:val="32"/>
          <w:szCs w:val="32"/>
          <w:lang w:eastAsia="zh-CN"/>
        </w:rPr>
        <w:t>为区内同类学校交流学习活动接待费用</w:t>
      </w:r>
      <w:r>
        <w:rPr>
          <w:rFonts w:hint="eastAsia" w:ascii="仿宋_GB2312" w:eastAsia="仿宋_GB2312" w:cs="仿宋_GB2312"/>
          <w:bCs/>
          <w:kern w:val="0"/>
          <w:sz w:val="32"/>
          <w:szCs w:val="32"/>
        </w:rPr>
        <w:t>。2020 年共接待国内来访团组</w:t>
      </w:r>
      <w:r>
        <w:rPr>
          <w:rFonts w:hint="eastAsia" w:ascii="仿宋_GB2312" w:eastAsia="仿宋_GB2312" w:cs="仿宋_GB2312"/>
          <w:bCs/>
          <w:kern w:val="0"/>
          <w:sz w:val="32"/>
          <w:szCs w:val="32"/>
          <w:lang w:val="en-US" w:eastAsia="zh-CN"/>
        </w:rPr>
        <w:t>15</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205</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hint="eastAsia" w:ascii="仿宋_GB2312" w:eastAsia="仿宋_GB2312" w:cs="仿宋_GB2312"/>
          <w:b/>
          <w:kern w:val="0"/>
          <w:sz w:val="32"/>
          <w:szCs w:val="32"/>
          <w:lang w:eastAsia="zh-CN"/>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r>
        <w:rPr>
          <w:rFonts w:hint="eastAsia" w:ascii="仿宋_GB2312" w:eastAsia="仿宋_GB2312" w:cs="仿宋_GB2312"/>
          <w:b/>
          <w:kern w:val="0"/>
          <w:sz w:val="32"/>
          <w:szCs w:val="32"/>
          <w:lang w:eastAsia="zh-CN"/>
        </w:rPr>
        <w:t>。</w:t>
      </w:r>
    </w:p>
    <w:p>
      <w:pPr>
        <w:numPr>
          <w:ilvl w:val="0"/>
          <w:numId w:val="0"/>
        </w:numPr>
        <w:autoSpaceDE w:val="0"/>
        <w:autoSpaceDN w:val="0"/>
        <w:adjustRightInd w:val="0"/>
        <w:spacing w:line="580" w:lineRule="exact"/>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kern w:val="0"/>
          <w:sz w:val="32"/>
          <w:szCs w:val="32"/>
          <w:lang w:val="en-US" w:eastAsia="zh-CN"/>
        </w:rPr>
        <w:t xml:space="preserve">     </w:t>
      </w:r>
      <w:r>
        <w:rPr>
          <w:rFonts w:hint="eastAsia" w:ascii="仿宋_GB2312" w:eastAsia="仿宋_GB2312" w:cs="仿宋_GB2312"/>
          <w:b/>
          <w:kern w:val="0"/>
          <w:sz w:val="32"/>
          <w:szCs w:val="32"/>
          <w:highlight w:val="none"/>
          <w:lang w:val="en-US" w:eastAsia="zh-CN"/>
        </w:rPr>
        <w:t>无此类收支</w:t>
      </w:r>
    </w:p>
    <w:p>
      <w:pPr>
        <w:numPr>
          <w:ilvl w:val="0"/>
          <w:numId w:val="4"/>
        </w:numPr>
        <w:autoSpaceDE w:val="0"/>
        <w:autoSpaceDN w:val="0"/>
        <w:adjustRightInd w:val="0"/>
        <w:spacing w:line="580" w:lineRule="exact"/>
        <w:ind w:left="-223" w:leftChars="0" w:firstLine="643" w:firstLineChars="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国有资本经营预算财政拨款支出情况说明（根据实际情况作表述）</w:t>
      </w:r>
    </w:p>
    <w:p>
      <w:pPr>
        <w:numPr>
          <w:ilvl w:val="0"/>
          <w:numId w:val="0"/>
        </w:numPr>
        <w:autoSpaceDE w:val="0"/>
        <w:autoSpaceDN w:val="0"/>
        <w:adjustRightInd w:val="0"/>
        <w:spacing w:line="580" w:lineRule="exact"/>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无此类收支</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autoSpaceDE w:val="0"/>
        <w:autoSpaceDN w:val="0"/>
        <w:adjustRightInd w:val="0"/>
        <w:spacing w:line="580" w:lineRule="exact"/>
        <w:ind w:firstLine="63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2020年，学校把制度建设作为开展绩效管理的关键环节，增强支出责任和效率意识，积极运用绩效评价结果，建立绩效评价结果的反馈与整改、激励与问责制度，将绩效评价结果作为安排以后年度预算的重要依据，切实发挥绩效评价工作的应有作用，实现优化资源配置，提高资金使用效率和精细化管理。</w:t>
      </w:r>
    </w:p>
    <w:p>
      <w:pPr>
        <w:autoSpaceDE w:val="0"/>
        <w:autoSpaceDN w:val="0"/>
        <w:adjustRightInd w:val="0"/>
        <w:spacing w:line="580" w:lineRule="exact"/>
        <w:ind w:firstLine="63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全面实施预算绩效目标管理，对单位申报的预算项目进行全面梳理，加强审核，所有项目必须有明细的资金测算，同步编制绩效目标评价指标。</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 w:val="0"/>
          <w:bCs/>
          <w:kern w:val="0"/>
          <w:sz w:val="32"/>
          <w:szCs w:val="32"/>
        </w:rPr>
        <w:t>加大对绩效评价的人员培训和指导力度，采取集中学习，部门调研等方式，进一步统一认识，充实业务知识，提高绩效评价指标编制水平。</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2,667.51</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1,995.16</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60.71</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611.64</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92</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90</w:t>
      </w:r>
      <w:r>
        <w:rPr>
          <w:rFonts w:hint="eastAsia" w:ascii="仿宋_GB2312" w:eastAsia="仿宋_GB2312" w:cs="仿宋_GB2312"/>
          <w:kern w:val="0"/>
          <w:sz w:val="32"/>
          <w:szCs w:val="32"/>
        </w:rPr>
        <w:t xml:space="preserve"> 辆；单价50万元以上通用设备</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p>
    <w:p>
      <w:pPr>
        <w:numPr>
          <w:ilvl w:val="0"/>
          <w:numId w:val="5"/>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56ECADD-0568-4502-8627-155D900CECF3}"/>
  </w:font>
  <w:font w:name="黑体">
    <w:panose1 w:val="02010609060101010101"/>
    <w:charset w:val="86"/>
    <w:family w:val="auto"/>
    <w:pitch w:val="default"/>
    <w:sig w:usb0="800002BF" w:usb1="38CF7CFA" w:usb2="00000016" w:usb3="00000000" w:csb0="00040001" w:csb1="00000000"/>
    <w:embedRegular r:id="rId2" w:fontKey="{0522216B-AD93-4774-A9EF-4C1D06ABB6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372EF4BF-0DCF-4F24-A3ED-700E3484C257}"/>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72FDE447-234D-46FB-8C6F-CE8C5308F8C8}"/>
  </w:font>
  <w:font w:name="MingLiU">
    <w:altName w:val="PMingLiU-ExtB"/>
    <w:panose1 w:val="02020509000000000000"/>
    <w:charset w:val="88"/>
    <w:family w:val="modern"/>
    <w:pitch w:val="default"/>
    <w:sig w:usb0="00000000" w:usb1="00000000" w:usb2="00000016" w:usb3="00000000" w:csb0="00100001" w:csb1="00000000"/>
    <w:embedRegular r:id="rId5" w:fontKey="{BA1FB99C-36D0-4B74-A595-28000CBE0CFA}"/>
  </w:font>
  <w:font w:name="华文中宋">
    <w:altName w:val="宋体"/>
    <w:panose1 w:val="02010600040101010101"/>
    <w:charset w:val="86"/>
    <w:family w:val="auto"/>
    <w:pitch w:val="default"/>
    <w:sig w:usb0="00000000" w:usb1="00000000" w:usb2="00000000" w:usb3="00000000" w:csb0="0004009F" w:csb1="DFD70000"/>
    <w:embedRegular r:id="rId6" w:fontKey="{C601A714-C4B3-4EFF-AA5A-9D488E265F34}"/>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9DDBB"/>
    <w:multiLevelType w:val="singleLevel"/>
    <w:tmpl w:val="8AE9DDBB"/>
    <w:lvl w:ilvl="0" w:tentative="0">
      <w:start w:val="1"/>
      <w:numFmt w:val="chineseCounting"/>
      <w:suff w:val="nothing"/>
      <w:lvlText w:val="%1、"/>
      <w:lvlJc w:val="left"/>
      <w:rPr>
        <w:rFonts w:hint="eastAsia"/>
      </w:rPr>
    </w:lvl>
  </w:abstractNum>
  <w:abstractNum w:abstractNumId="1">
    <w:nsid w:val="98E06CE2"/>
    <w:multiLevelType w:val="singleLevel"/>
    <w:tmpl w:val="98E06CE2"/>
    <w:lvl w:ilvl="0" w:tentative="0">
      <w:start w:val="9"/>
      <w:numFmt w:val="chineseCounting"/>
      <w:suff w:val="nothing"/>
      <w:lvlText w:val="%1、"/>
      <w:lvlJc w:val="left"/>
      <w:pPr>
        <w:ind w:left="-223"/>
      </w:pPr>
      <w:rPr>
        <w:rFonts w:hint="eastAsia"/>
      </w:rPr>
    </w:lvl>
  </w:abstractNum>
  <w:abstractNum w:abstractNumId="2">
    <w:nsid w:val="2023EACE"/>
    <w:multiLevelType w:val="singleLevel"/>
    <w:tmpl w:val="2023EACE"/>
    <w:lvl w:ilvl="0" w:tentative="0">
      <w:start w:val="1"/>
      <w:numFmt w:val="decimal"/>
      <w:lvlText w:val="%1."/>
      <w:lvlJc w:val="left"/>
      <w:pPr>
        <w:tabs>
          <w:tab w:val="left" w:pos="312"/>
        </w:tabs>
      </w:pPr>
    </w:lvl>
  </w:abstractNum>
  <w:abstractNum w:abstractNumId="3">
    <w:nsid w:val="4EFC3677"/>
    <w:multiLevelType w:val="singleLevel"/>
    <w:tmpl w:val="4EFC3677"/>
    <w:lvl w:ilvl="0" w:tentative="0">
      <w:start w:val="1"/>
      <w:numFmt w:val="chineseCounting"/>
      <w:suff w:val="nothing"/>
      <w:lvlText w:val="%1、"/>
      <w:lvlJc w:val="left"/>
      <w:rPr>
        <w:rFonts w:hint="eastAsia"/>
      </w:rPr>
    </w:lvl>
  </w:abstractNum>
  <w:abstractNum w:abstractNumId="4">
    <w:nsid w:val="5B3C8BA7"/>
    <w:multiLevelType w:val="singleLevel"/>
    <w:tmpl w:val="5B3C8BA7"/>
    <w:lvl w:ilvl="0" w:tentative="0">
      <w:start w:val="1"/>
      <w:numFmt w:val="chineseCounting"/>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4C256E3D"/>
    <w:rsid w:val="00066CA3"/>
    <w:rsid w:val="005061AD"/>
    <w:rsid w:val="006C1367"/>
    <w:rsid w:val="00715385"/>
    <w:rsid w:val="00F66C5B"/>
    <w:rsid w:val="0DA86951"/>
    <w:rsid w:val="0E074DDF"/>
    <w:rsid w:val="0F5478DB"/>
    <w:rsid w:val="124204B5"/>
    <w:rsid w:val="1476517C"/>
    <w:rsid w:val="182962AB"/>
    <w:rsid w:val="199375CC"/>
    <w:rsid w:val="19D073EB"/>
    <w:rsid w:val="1CC31F67"/>
    <w:rsid w:val="219E66A5"/>
    <w:rsid w:val="234829F8"/>
    <w:rsid w:val="2348656F"/>
    <w:rsid w:val="24D337DC"/>
    <w:rsid w:val="26460DBA"/>
    <w:rsid w:val="2A2457A4"/>
    <w:rsid w:val="2B6F74EB"/>
    <w:rsid w:val="2C4219FE"/>
    <w:rsid w:val="326F21DD"/>
    <w:rsid w:val="34020F86"/>
    <w:rsid w:val="37740CF6"/>
    <w:rsid w:val="38093962"/>
    <w:rsid w:val="39A63F06"/>
    <w:rsid w:val="3CD54CD2"/>
    <w:rsid w:val="3CE90D11"/>
    <w:rsid w:val="3ED1439F"/>
    <w:rsid w:val="44500BF5"/>
    <w:rsid w:val="45E46353"/>
    <w:rsid w:val="48374EDC"/>
    <w:rsid w:val="497E4FF5"/>
    <w:rsid w:val="4A707309"/>
    <w:rsid w:val="4C256E3D"/>
    <w:rsid w:val="4CB52F0F"/>
    <w:rsid w:val="4DFD4C1A"/>
    <w:rsid w:val="532F1F9A"/>
    <w:rsid w:val="59CE558E"/>
    <w:rsid w:val="5DB3694E"/>
    <w:rsid w:val="5E5B00B4"/>
    <w:rsid w:val="5E995A3E"/>
    <w:rsid w:val="61335A53"/>
    <w:rsid w:val="62163194"/>
    <w:rsid w:val="624D024D"/>
    <w:rsid w:val="635A1615"/>
    <w:rsid w:val="650E086A"/>
    <w:rsid w:val="6582119F"/>
    <w:rsid w:val="6BAA0708"/>
    <w:rsid w:val="7E1B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15</TotalTime>
  <ScaleCrop>false</ScaleCrop>
  <LinksUpToDate>false</LinksUpToDate>
  <CharactersWithSpaces>8540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2021-08-15T22:02:00Z</cp:lastPrinted>
  <dcterms:modified xsi:type="dcterms:W3CDTF">2023-11-22T08:29:30Z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C1BB1FEF55BB4E709310725953EB2724</vt:lpwstr>
  </property>
</Properties>
</file>