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cs="ArialUnicodeMS"/>
          <w:kern w:val="0"/>
          <w:sz w:val="32"/>
          <w:szCs w:val="32"/>
          <w:lang w:val="en-US" w:eastAsia="zh-CN"/>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艺术剧院</w:t>
      </w:r>
      <w:r>
        <w:rPr>
          <w:rFonts w:hint="eastAsia" w:ascii="黑体" w:hAnsi="黑体" w:eastAsia="黑体"/>
          <w:bCs/>
          <w:color w:val="000000"/>
          <w:sz w:val="52"/>
          <w:szCs w:val="52"/>
          <w:u w:val="none"/>
        </w:rPr>
        <w:t xml:space="preserve">  </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w:t>
      </w:r>
      <w:r>
        <w:rPr>
          <w:rFonts w:hint="eastAsia" w:ascii="仿宋_GB2312" w:hAnsi="黑体" w:eastAsia="仿宋_GB2312"/>
          <w:b/>
          <w:bCs/>
          <w:color w:val="000000"/>
          <w:sz w:val="32"/>
          <w:szCs w:val="32"/>
          <w:u w:val="none"/>
          <w:lang w:eastAsia="zh-CN"/>
        </w:rPr>
        <w:t>柳州市艺术剧院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柳州市艺术剧院</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柳州市艺术剧院</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柳州市艺术剧院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（一）策划组织本市大型文化（节庆）活动</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（二）保护、传承和发展地方剧种</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（三）创造精品剧目在国内外演出</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（四）引进国内外优秀剧目在本市展演</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（五）组织开展文化艺术教育培训工作</w:t>
      </w:r>
    </w:p>
    <w:p>
      <w:pPr>
        <w:ind w:firstLine="646"/>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（六）承办市委、市政府交办的其他事项</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sz w:val="32"/>
          <w:szCs w:val="32"/>
        </w:rPr>
      </w:pPr>
      <w:r>
        <w:rPr>
          <w:rFonts w:hint="eastAsia" w:ascii="仿宋_GB2312" w:hAnsi="华文仿宋" w:eastAsia="仿宋_GB2312"/>
          <w:sz w:val="32"/>
          <w:szCs w:val="32"/>
          <w:highlight w:val="none"/>
          <w:lang w:eastAsia="zh-CN"/>
        </w:rPr>
        <w:t>柳州市艺术剧院为财政差额拨款事业单位，隶属于</w:t>
      </w:r>
      <w:r>
        <w:rPr>
          <w:rFonts w:hint="eastAsia" w:ascii="仿宋_GB2312" w:hAnsi="华文仿宋" w:eastAsia="仿宋_GB2312"/>
          <w:sz w:val="32"/>
          <w:szCs w:val="32"/>
          <w:highlight w:val="none"/>
          <w:lang w:val="en-US" w:eastAsia="zh-CN"/>
        </w:rPr>
        <w:t>柳州市文化广电和旅游局，下设办公室、舞美中心、水上舞台、</w:t>
      </w:r>
      <w:r>
        <w:rPr>
          <w:rFonts w:hint="eastAsia" w:ascii="仿宋_GB2312" w:hAnsi="仿宋_GB2312" w:eastAsia="仿宋_GB2312"/>
          <w:b w:val="0"/>
          <w:bCs/>
          <w:sz w:val="32"/>
          <w:szCs w:val="32"/>
          <w:lang w:eastAsia="zh-CN"/>
        </w:rPr>
        <w:t>策划部、</w:t>
      </w:r>
      <w:r>
        <w:rPr>
          <w:rFonts w:hint="eastAsia" w:ascii="仿宋_GB2312" w:hAnsi="仿宋_GB2312" w:eastAsia="仿宋_GB2312"/>
          <w:b w:val="0"/>
          <w:bCs/>
          <w:color w:val="000000"/>
          <w:sz w:val="32"/>
          <w:szCs w:val="32"/>
          <w:lang w:eastAsia="zh-CN"/>
        </w:rPr>
        <w:t>形象拓展部、乐团、演员剧团、</w:t>
      </w:r>
      <w:r>
        <w:rPr>
          <w:rFonts w:hint="eastAsia" w:ascii="仿宋_GB2312" w:hAnsi="仿宋_GB2312" w:eastAsia="仿宋_GB2312"/>
          <w:b w:val="0"/>
          <w:bCs/>
          <w:sz w:val="32"/>
          <w:szCs w:val="32"/>
          <w:lang w:eastAsia="zh-CN"/>
        </w:rPr>
        <w:t>艺术创作中心、艺术培训中心、</w:t>
      </w:r>
      <w:r>
        <w:rPr>
          <w:rFonts w:hint="eastAsia" w:ascii="仿宋_GB2312" w:eastAsia="仿宋_GB2312"/>
          <w:b w:val="0"/>
          <w:bCs/>
          <w:sz w:val="32"/>
          <w:szCs w:val="32"/>
        </w:rPr>
        <w:t>财务科</w:t>
      </w:r>
      <w:r>
        <w:rPr>
          <w:rFonts w:hint="eastAsia" w:ascii="仿宋_GB2312" w:eastAsia="仿宋_GB2312"/>
          <w:b w:val="0"/>
          <w:bCs/>
          <w:sz w:val="32"/>
          <w:szCs w:val="32"/>
          <w:lang w:eastAsia="zh-CN"/>
        </w:rPr>
        <w:t>八个职能科室</w:t>
      </w:r>
      <w:r>
        <w:rPr>
          <w:rFonts w:hint="eastAsia" w:ascii="仿宋_GB2312" w:hAnsi="华文仿宋" w:eastAsia="仿宋_GB2312"/>
          <w:sz w:val="32"/>
          <w:szCs w:val="32"/>
          <w:highlight w:val="none"/>
          <w:lang w:val="en-US" w:eastAsia="zh-CN"/>
        </w:rPr>
        <w:t>。</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柳州市艺术剧院</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表一：收入支出决算总表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表二：收入决算表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表三：支出决算表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表四：财政拨款收入支出决算总表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表五：一般公共预算财政拨款支出决算表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表六：一般公共预算财政拨款基本支出决算表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表七：一般公共预算财政拨款安排的“三公”经费支出决算表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表八：政府性基金预算财政拨款收入支出决算表</w:t>
      </w:r>
    </w:p>
    <w:p>
      <w:pPr>
        <w:ind w:firstLine="640" w:firstLineChars="200"/>
        <w:rPr>
          <w:rFonts w:hint="eastAsia"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lang w:val="en-US" w:eastAsia="zh-CN"/>
        </w:rPr>
        <w:t>表九：国有资本经营预算财政拨款支出决算表</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（详见附件）</w:t>
      </w:r>
    </w:p>
    <w:p>
      <w:pPr>
        <w:ind w:firstLine="640" w:firstLineChars="200"/>
        <w:rPr>
          <w:rFonts w:hint="eastAsia" w:ascii="仿宋_GB2312" w:hAnsi="黑体" w:eastAsia="仿宋_GB2312"/>
          <w:sz w:val="32"/>
          <w:szCs w:val="32"/>
        </w:rPr>
      </w:pPr>
    </w:p>
    <w:p>
      <w:pPr>
        <w:jc w:val="center"/>
      </w:pPr>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柳州市艺术剧院</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4905.75</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4905.75</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1230.62</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20.05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，增减原因是：财政拨款和上级拨款项目减少。</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4034.24</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2590.61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64.22%</w:t>
      </w:r>
      <w:r>
        <w:rPr>
          <w:rFonts w:hint="eastAsia" w:ascii="仿宋_GB2312" w:eastAsia="仿宋_GB2312" w:cs="仿宋_GB2312"/>
          <w:bCs/>
          <w:kern w:val="0"/>
          <w:sz w:val="32"/>
          <w:szCs w:val="32"/>
        </w:rPr>
        <w:t> ；上级补助收入</w:t>
      </w:r>
      <w:r>
        <w:rPr>
          <w:rFonts w:hint="eastAsia" w:ascii="仿宋_GB2312" w:eastAsia="仿宋_GB2312" w:cs="仿宋_GB2312"/>
          <w:bCs/>
          <w:kern w:val="0"/>
          <w:sz w:val="32"/>
          <w:szCs w:val="32"/>
          <w:lang w:val="en-US" w:eastAsia="zh-CN"/>
        </w:rPr>
        <w:t>1341.52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33.25%</w:t>
      </w:r>
      <w:r>
        <w:rPr>
          <w:rFonts w:hint="eastAsia" w:ascii="仿宋_GB2312" w:eastAsia="仿宋_GB2312" w:cs="仿宋_GB2312"/>
          <w:bCs/>
          <w:kern w:val="0"/>
          <w:sz w:val="32"/>
          <w:szCs w:val="32"/>
        </w:rPr>
        <w:t xml:space="preserve"> ；事业单位经营收入</w:t>
      </w:r>
      <w:r>
        <w:rPr>
          <w:rFonts w:hint="eastAsia" w:ascii="仿宋_GB2312" w:eastAsia="仿宋_GB2312" w:cs="仿宋_GB2312"/>
          <w:bCs/>
          <w:kern w:val="0"/>
          <w:sz w:val="32"/>
          <w:szCs w:val="32"/>
          <w:lang w:val="en-US" w:eastAsia="zh-CN"/>
        </w:rPr>
        <w:t>96.76</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2.40%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5.34</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0.13%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本年支出合计 </w:t>
      </w:r>
      <w:r>
        <w:rPr>
          <w:rFonts w:hint="eastAsia" w:ascii="仿宋_GB2312" w:eastAsia="仿宋_GB2312" w:cs="仿宋_GB2312"/>
          <w:bCs/>
          <w:kern w:val="0"/>
          <w:sz w:val="32"/>
          <w:szCs w:val="32"/>
          <w:lang w:val="en-US" w:eastAsia="zh-CN"/>
        </w:rPr>
        <w:t>4540.11</w:t>
      </w:r>
      <w:r>
        <w:rPr>
          <w:rFonts w:hint="eastAsia" w:ascii="仿宋_GB2312" w:eastAsia="仿宋_GB2312" w:cs="仿宋_GB2312"/>
          <w:bCs/>
          <w:kern w:val="0"/>
          <w:sz w:val="32"/>
          <w:szCs w:val="32"/>
        </w:rPr>
        <w:t xml:space="preserve"> 万元，其中：基本支出 </w:t>
      </w:r>
      <w:r>
        <w:rPr>
          <w:rFonts w:hint="eastAsia" w:ascii="仿宋_GB2312" w:eastAsia="仿宋_GB2312" w:cs="仿宋_GB2312"/>
          <w:bCs/>
          <w:kern w:val="0"/>
          <w:sz w:val="32"/>
          <w:szCs w:val="32"/>
          <w:lang w:val="en-US" w:eastAsia="zh-CN"/>
        </w:rPr>
        <w:t>2214.55</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48.78</w:t>
      </w:r>
      <w:r>
        <w:rPr>
          <w:rFonts w:hint="eastAsia" w:ascii="仿宋_GB2312" w:eastAsia="仿宋_GB2312" w:cs="仿宋_GB2312"/>
          <w:bCs/>
          <w:kern w:val="0"/>
          <w:sz w:val="32"/>
          <w:szCs w:val="32"/>
        </w:rPr>
        <w:t xml:space="preserve">%；项目支出 </w:t>
      </w:r>
      <w:r>
        <w:rPr>
          <w:rFonts w:hint="eastAsia" w:ascii="仿宋_GB2312" w:eastAsia="仿宋_GB2312" w:cs="仿宋_GB2312"/>
          <w:bCs/>
          <w:kern w:val="0"/>
          <w:sz w:val="32"/>
          <w:szCs w:val="32"/>
          <w:lang w:val="en-US" w:eastAsia="zh-CN"/>
        </w:rPr>
        <w:t>2228.79</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49.09</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96.76</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2.13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2020年度财政拨款收、支总决算 </w:t>
      </w:r>
      <w:r>
        <w:rPr>
          <w:rFonts w:hint="eastAsia" w:ascii="仿宋_GB2312" w:eastAsia="仿宋_GB2312" w:cs="仿宋_GB2312"/>
          <w:bCs/>
          <w:kern w:val="0"/>
          <w:sz w:val="32"/>
          <w:szCs w:val="32"/>
          <w:lang w:val="en-US" w:eastAsia="zh-CN"/>
        </w:rPr>
        <w:t>2901.14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2901.14</w:t>
      </w:r>
      <w:r>
        <w:rPr>
          <w:rFonts w:hint="eastAsia" w:ascii="仿宋_GB2312" w:eastAsia="仿宋_GB2312" w:cs="仿宋_GB2312"/>
          <w:bCs/>
          <w:kern w:val="0"/>
          <w:sz w:val="32"/>
          <w:szCs w:val="32"/>
        </w:rPr>
        <w:t>万元。与 2019 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858.23</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22.83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，增减原因是：财政拨款项目收入减少，对项目资金进行压减，</w:t>
      </w:r>
      <w:r>
        <w:rPr>
          <w:rFonts w:hint="eastAsia" w:ascii="仿宋_GB2312" w:eastAsia="仿宋_GB2312" w:cs="仿宋_GB2312"/>
          <w:bCs/>
          <w:kern w:val="0"/>
          <w:sz w:val="32"/>
          <w:szCs w:val="32"/>
          <w:lang w:val="en-US" w:eastAsia="zh-CN"/>
        </w:rPr>
        <w:t>绩效工资也比上年减少</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2020年度财政拨款支出 </w:t>
      </w:r>
      <w:r>
        <w:rPr>
          <w:rFonts w:hint="eastAsia" w:ascii="仿宋_GB2312" w:eastAsia="仿宋_GB2312" w:cs="仿宋_GB2312"/>
          <w:bCs/>
          <w:kern w:val="0"/>
          <w:sz w:val="32"/>
          <w:szCs w:val="32"/>
          <w:lang w:val="en-US" w:eastAsia="zh-CN"/>
        </w:rPr>
        <w:t>2715.55</w:t>
      </w:r>
      <w:r>
        <w:rPr>
          <w:rFonts w:hint="eastAsia" w:ascii="仿宋_GB2312" w:eastAsia="仿宋_GB2312" w:cs="仿宋_GB2312"/>
          <w:bCs/>
          <w:kern w:val="0"/>
          <w:sz w:val="32"/>
          <w:szCs w:val="32"/>
        </w:rPr>
        <w:t xml:space="preserve"> 万元，占本年支出合计的 </w:t>
      </w:r>
      <w:r>
        <w:rPr>
          <w:rFonts w:hint="eastAsia" w:ascii="仿宋_GB2312" w:eastAsia="仿宋_GB2312" w:cs="仿宋_GB2312"/>
          <w:bCs/>
          <w:kern w:val="0"/>
          <w:sz w:val="32"/>
          <w:szCs w:val="32"/>
          <w:highlight w:val="none"/>
          <w:lang w:val="en-US" w:eastAsia="zh-CN"/>
        </w:rPr>
        <w:t>59.81</w:t>
      </w:r>
      <w:r>
        <w:rPr>
          <w:rFonts w:hint="eastAsia" w:ascii="仿宋_GB2312" w:eastAsia="仿宋_GB2312" w:cs="仿宋_GB2312"/>
          <w:bCs/>
          <w:kern w:val="0"/>
          <w:sz w:val="32"/>
          <w:szCs w:val="32"/>
        </w:rPr>
        <w:t>%。与2019年相比，财政拨款支出减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733.28 </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21.26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，增减原因是：财政拨款项目收入减少，对项目资金进行压减，</w:t>
      </w:r>
      <w:r>
        <w:rPr>
          <w:rFonts w:hint="eastAsia" w:ascii="仿宋_GB2312" w:eastAsia="仿宋_GB2312" w:cs="仿宋_GB2312"/>
          <w:bCs/>
          <w:kern w:val="0"/>
          <w:sz w:val="32"/>
          <w:szCs w:val="32"/>
          <w:lang w:val="en-US" w:eastAsia="zh-CN"/>
        </w:rPr>
        <w:t>绩效工资也比上年减少</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 </w:t>
      </w:r>
      <w:r>
        <w:rPr>
          <w:rFonts w:hint="eastAsia" w:ascii="仿宋_GB2312" w:eastAsia="仿宋_GB2312" w:cs="仿宋_GB2312"/>
          <w:bCs/>
          <w:kern w:val="0"/>
          <w:sz w:val="32"/>
          <w:szCs w:val="32"/>
          <w:lang w:val="en-US" w:eastAsia="zh-CN"/>
        </w:rPr>
        <w:t>2715.55</w:t>
      </w:r>
      <w:r>
        <w:rPr>
          <w:rFonts w:hint="eastAsia" w:ascii="仿宋_GB2312" w:eastAsia="仿宋_GB2312" w:cs="仿宋_GB2312"/>
          <w:bCs/>
          <w:kern w:val="0"/>
          <w:sz w:val="32"/>
          <w:szCs w:val="32"/>
        </w:rPr>
        <w:t xml:space="preserve"> 万元，主要用于以下方面：文化旅游体育与传媒支出</w:t>
      </w:r>
      <w:r>
        <w:rPr>
          <w:rFonts w:hint="eastAsia" w:ascii="仿宋_GB2312" w:eastAsia="仿宋_GB2312" w:cs="仿宋_GB2312"/>
          <w:bCs/>
          <w:kern w:val="0"/>
          <w:sz w:val="32"/>
          <w:szCs w:val="32"/>
          <w:lang w:val="en-US" w:eastAsia="zh-CN"/>
        </w:rPr>
        <w:t>1936.66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71.32</w:t>
      </w: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521.37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19.2</w:t>
      </w:r>
      <w:r>
        <w:rPr>
          <w:rFonts w:hint="eastAsia" w:ascii="仿宋_GB2312" w:eastAsia="仿宋_GB2312" w:cs="仿宋_GB2312"/>
          <w:bCs/>
          <w:kern w:val="0"/>
          <w:sz w:val="32"/>
          <w:szCs w:val="32"/>
        </w:rPr>
        <w:t>%；卫生健康支出</w:t>
      </w:r>
      <w:r>
        <w:rPr>
          <w:rFonts w:hint="eastAsia" w:ascii="仿宋_GB2312" w:eastAsia="仿宋_GB2312" w:cs="仿宋_GB2312"/>
          <w:bCs/>
          <w:kern w:val="0"/>
          <w:sz w:val="32"/>
          <w:szCs w:val="32"/>
          <w:lang w:val="en-US" w:eastAsia="zh-CN"/>
        </w:rPr>
        <w:t>97</w:t>
      </w:r>
      <w:r>
        <w:rPr>
          <w:rFonts w:hint="eastAsia" w:ascii="仿宋_GB2312" w:eastAsia="仿宋_GB2312" w:cs="仿宋_GB2312"/>
          <w:bCs/>
          <w:kern w:val="0"/>
          <w:sz w:val="32"/>
          <w:szCs w:val="32"/>
        </w:rPr>
        <w:t>.18万元，占</w:t>
      </w:r>
      <w:r>
        <w:rPr>
          <w:rFonts w:hint="eastAsia" w:ascii="仿宋_GB2312" w:eastAsia="仿宋_GB2312" w:cs="仿宋_GB2312"/>
          <w:bCs/>
          <w:kern w:val="0"/>
          <w:sz w:val="32"/>
          <w:szCs w:val="32"/>
          <w:lang w:val="en-US" w:eastAsia="zh-CN"/>
        </w:rPr>
        <w:t>3.58</w:t>
      </w:r>
      <w:r>
        <w:rPr>
          <w:rFonts w:hint="eastAsia" w:ascii="仿宋_GB2312" w:eastAsia="仿宋_GB2312" w:cs="仿宋_GB2312"/>
          <w:bCs/>
          <w:kern w:val="0"/>
          <w:sz w:val="32"/>
          <w:szCs w:val="32"/>
        </w:rPr>
        <w:t>%；住房保障支出</w:t>
      </w:r>
      <w:r>
        <w:rPr>
          <w:rFonts w:hint="eastAsia" w:ascii="仿宋_GB2312" w:eastAsia="仿宋_GB2312" w:cs="仿宋_GB2312"/>
          <w:bCs/>
          <w:kern w:val="0"/>
          <w:sz w:val="32"/>
          <w:szCs w:val="32"/>
          <w:lang w:val="en-US" w:eastAsia="zh-CN"/>
        </w:rPr>
        <w:t>154.34</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5.68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lang w:val="en-US" w:eastAsia="zh-CN"/>
        </w:rPr>
        <w:t>6万元，占0.22%</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 xml:space="preserve"> 2559.07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2715.55</w:t>
      </w:r>
      <w:r>
        <w:rPr>
          <w:rFonts w:hint="eastAsia" w:ascii="仿宋_GB2312" w:eastAsia="仿宋_GB2312" w:cs="仿宋_GB2312"/>
          <w:bCs/>
          <w:kern w:val="0"/>
          <w:sz w:val="32"/>
          <w:szCs w:val="32"/>
        </w:rPr>
        <w:t xml:space="preserve"> 万元，完成年初预算的 </w:t>
      </w:r>
      <w:r>
        <w:rPr>
          <w:rFonts w:hint="eastAsia" w:ascii="仿宋_GB2312" w:eastAsia="仿宋_GB2312" w:cs="仿宋_GB2312"/>
          <w:bCs/>
          <w:kern w:val="0"/>
          <w:sz w:val="32"/>
          <w:szCs w:val="32"/>
          <w:lang w:val="en-US" w:eastAsia="zh-CN"/>
        </w:rPr>
        <w:t>106.11</w:t>
      </w:r>
      <w:r>
        <w:rPr>
          <w:rFonts w:hint="eastAsia" w:ascii="仿宋_GB2312" w:eastAsia="仿宋_GB2312" w:cs="仿宋_GB2312"/>
          <w:bCs/>
          <w:kern w:val="0"/>
          <w:sz w:val="32"/>
          <w:szCs w:val="32"/>
        </w:rPr>
        <w:t>%。决算数大于预算数的主要原因：一是年中追加安排财政拨款支出预算，涉及项目有市本级基本建设项目前期经费</w:t>
      </w:r>
      <w:r>
        <w:rPr>
          <w:rFonts w:hint="eastAsia" w:ascii="仿宋_GB2312" w:eastAsia="仿宋_GB2312" w:cs="仿宋_GB2312"/>
          <w:bCs/>
          <w:kern w:val="0"/>
          <w:sz w:val="32"/>
          <w:szCs w:val="32"/>
          <w:lang w:eastAsia="zh-CN"/>
        </w:rPr>
        <w:t>，2019年激励干部担当作为奖励资金</w:t>
      </w:r>
      <w:r>
        <w:rPr>
          <w:rFonts w:hint="eastAsia" w:ascii="仿宋_GB2312" w:eastAsia="仿宋_GB2312" w:cs="仿宋_GB2312"/>
          <w:bCs/>
          <w:kern w:val="0"/>
          <w:sz w:val="32"/>
          <w:szCs w:val="32"/>
        </w:rPr>
        <w:t xml:space="preserve">；二是部分支出按规定，通过使用以前年度财政拨款结转资金解决。其中：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文化旅游体育与传媒支出（类）文化和旅游（款）艺术表演团体（项）。年初预算为</w:t>
      </w:r>
      <w:r>
        <w:rPr>
          <w:rFonts w:hint="eastAsia" w:ascii="仿宋_GB2312" w:eastAsia="仿宋_GB2312"/>
          <w:sz w:val="32"/>
          <w:szCs w:val="32"/>
          <w:lang w:val="en-US" w:eastAsia="zh-CN"/>
        </w:rPr>
        <w:t>1838.07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1758.06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98.65</w:t>
      </w:r>
      <w:r>
        <w:rPr>
          <w:rFonts w:hint="eastAsia" w:ascii="仿宋_GB2312" w:eastAsia="仿宋_GB2312" w:cs="仿宋_GB2312"/>
          <w:bCs/>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文化旅游体育与传媒支出（类）文化和旅游（款）其他文化和旅游支出（项）。年初预算为</w:t>
      </w:r>
      <w:r>
        <w:rPr>
          <w:rFonts w:hint="eastAsia" w:ascii="仿宋_GB2312" w:eastAsia="仿宋_GB2312"/>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48.09</w:t>
      </w:r>
      <w:r>
        <w:rPr>
          <w:rFonts w:hint="eastAsia" w:ascii="仿宋_GB2312" w:eastAsia="仿宋_GB2312" w:cs="仿宋_GB2312"/>
          <w:bCs/>
          <w:kern w:val="0"/>
          <w:sz w:val="32"/>
          <w:szCs w:val="32"/>
        </w:rPr>
        <w:t>万元。决算数大于预算数的主要原因</w:t>
      </w:r>
      <w:r>
        <w:rPr>
          <w:rFonts w:hint="eastAsia" w:ascii="仿宋_GB2312" w:eastAsia="仿宋_GB2312" w:cs="仿宋_GB2312"/>
          <w:bCs/>
          <w:kern w:val="0"/>
          <w:sz w:val="32"/>
          <w:szCs w:val="32"/>
          <w:lang w:eastAsia="zh-CN"/>
        </w:rPr>
        <w:t>财政拨付职工体恤金。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文化旅游体育与传媒支出（类）其他文化旅游体育与传媒支出（款）其他文化旅游体育与传媒支出（项）。年初预算为</w:t>
      </w:r>
      <w:r>
        <w:rPr>
          <w:rFonts w:hint="eastAsia" w:ascii="仿宋_GB2312" w:eastAsia="仿宋_GB2312"/>
          <w:sz w:val="28"/>
          <w:szCs w:val="28"/>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130.51</w:t>
      </w:r>
      <w:r>
        <w:rPr>
          <w:rFonts w:hint="eastAsia" w:ascii="仿宋_GB2312" w:eastAsia="仿宋_GB2312" w:cs="仿宋_GB2312"/>
          <w:bCs/>
          <w:kern w:val="0"/>
          <w:sz w:val="32"/>
          <w:szCs w:val="32"/>
        </w:rPr>
        <w:t>万元。决算数大于预算数的主要原因是</w:t>
      </w:r>
      <w:r>
        <w:rPr>
          <w:rFonts w:hint="eastAsia" w:ascii="仿宋_GB2312" w:eastAsia="仿宋_GB2312" w:cs="仿宋_GB2312"/>
          <w:bCs/>
          <w:kern w:val="0"/>
          <w:sz w:val="32"/>
          <w:szCs w:val="32"/>
          <w:lang w:eastAsia="zh-CN"/>
        </w:rPr>
        <w:t>动用上年结转（结余）。</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.社会保障和就业支出（类）行政事业单位养老支出（款）事业单位离退休（项）。年初预算为</w:t>
      </w:r>
      <w:r>
        <w:rPr>
          <w:rFonts w:hint="eastAsia" w:ascii="仿宋_GB2312" w:eastAsia="仿宋_GB2312"/>
          <w:sz w:val="32"/>
          <w:szCs w:val="32"/>
          <w:lang w:val="en-US" w:eastAsia="zh-CN"/>
        </w:rPr>
        <w:t>209.44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212.69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101.55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sz w:val="32"/>
          <w:szCs w:val="32"/>
          <w:lang w:val="en-US" w:eastAsia="zh-CN"/>
        </w:rPr>
        <w:t>187.9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205.79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109.52</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sz w:val="32"/>
          <w:szCs w:val="32"/>
          <w:lang w:val="en-US" w:eastAsia="zh-CN"/>
        </w:rPr>
        <w:t>93.95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102.89</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lang w:val="en-US" w:eastAsia="zh-CN"/>
        </w:rPr>
        <w:t>109.52</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.卫生健康支出（类）行政事业单位医疗（款）事业单位医疗（项）。年初预算为</w:t>
      </w:r>
      <w:r>
        <w:rPr>
          <w:rFonts w:hint="eastAsia" w:ascii="仿宋_GB2312" w:eastAsia="仿宋_GB2312"/>
          <w:sz w:val="32"/>
          <w:szCs w:val="32"/>
          <w:lang w:val="en-US" w:eastAsia="zh-CN"/>
        </w:rPr>
        <w:t>88.8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97.18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109.44</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sz w:val="32"/>
          <w:szCs w:val="32"/>
          <w:lang w:val="en-US" w:eastAsia="zh-CN"/>
        </w:rPr>
        <w:t>140.92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154.34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109.52</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.其他支出（类）其他支出（款）其他支出（项）。年初预算为</w:t>
      </w:r>
      <w:r>
        <w:rPr>
          <w:rFonts w:hint="eastAsia" w:ascii="仿宋_GB2312" w:eastAsia="仿宋_GB2312"/>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万元。决算数大于预算数的主要原因是</w:t>
      </w:r>
      <w:r>
        <w:rPr>
          <w:rFonts w:hint="eastAsia" w:ascii="仿宋_GB2312" w:eastAsia="仿宋_GB2312" w:cs="仿宋_GB2312"/>
          <w:bCs/>
          <w:kern w:val="0"/>
          <w:sz w:val="32"/>
          <w:szCs w:val="32"/>
          <w:lang w:eastAsia="zh-CN"/>
        </w:rPr>
        <w:t>市发改委给的前期规划资金和财政拨付人员奖励</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六、20</w:t>
      </w:r>
      <w:r>
        <w:rPr>
          <w:rFonts w:hint="eastAsia" w:ascii="仿宋_GB2312" w:eastAsia="仿宋_GB2312" w:cs="仿宋_GB2312"/>
          <w:b/>
          <w:kern w:val="0"/>
          <w:sz w:val="32"/>
          <w:szCs w:val="32"/>
        </w:rPr>
        <w:t>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2214.55</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2103.57</w:t>
      </w:r>
      <w:r>
        <w:rPr>
          <w:rFonts w:hint="eastAsia" w:ascii="仿宋_GB2312" w:eastAsia="仿宋_GB2312" w:cs="仿宋_GB2312"/>
          <w:bCs/>
          <w:kern w:val="0"/>
          <w:sz w:val="32"/>
          <w:szCs w:val="32"/>
        </w:rPr>
        <w:t>万元，主要包括：基本工资、津贴补贴、 奖金、绩效工资、机关事业单位基本养老保险缴费、职业年金缴费、其他社会保障缴费、退休费、抚恤金、生活补助、住房公积金；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110.98</w:t>
      </w:r>
      <w:r>
        <w:rPr>
          <w:rFonts w:hint="eastAsia" w:ascii="仿宋_GB2312" w:eastAsia="仿宋_GB2312" w:cs="仿宋_GB2312"/>
          <w:bCs/>
          <w:kern w:val="0"/>
          <w:sz w:val="32"/>
          <w:szCs w:val="32"/>
        </w:rPr>
        <w:t>万元，主要 包括：维修</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护）费、劳务费、工会经费、其他商品和服务支出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七、2</w:t>
      </w:r>
      <w:r>
        <w:rPr>
          <w:rFonts w:hint="eastAsia" w:ascii="仿宋_GB2312" w:eastAsia="仿宋_GB2312" w:cs="仿宋_GB2312"/>
          <w:b/>
          <w:kern w:val="0"/>
          <w:sz w:val="32"/>
          <w:szCs w:val="32"/>
        </w:rPr>
        <w:t>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%。2020年度“三公”经费支出决算数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无差异。</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 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；公务用车购置及运行费支出减少的主要原因是</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无开支。</w:t>
      </w:r>
      <w:r>
        <w:rPr>
          <w:rFonts w:hint="eastAsia"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无开支</w:t>
      </w:r>
      <w:r>
        <w:rPr>
          <w:rFonts w:hint="eastAsia" w:ascii="仿宋_GB2312" w:eastAsia="仿宋_GB2312" w:cs="仿宋_GB2312"/>
          <w:bCs/>
          <w:kern w:val="0"/>
          <w:sz w:val="32"/>
          <w:szCs w:val="32"/>
        </w:rPr>
        <w:t>。2020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无开支</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政府</w:t>
      </w:r>
      <w:r>
        <w:rPr>
          <w:rFonts w:hint="eastAsia" w:ascii="仿宋_GB2312" w:eastAsia="仿宋_GB2312" w:cs="仿宋_GB2312"/>
          <w:bCs/>
          <w:kern w:val="0"/>
          <w:sz w:val="32"/>
          <w:szCs w:val="32"/>
          <w:lang w:val="en-US" w:eastAsia="zh-CN"/>
        </w:rPr>
        <w:t>性</w:t>
      </w:r>
      <w:bookmarkStart w:id="0" w:name="_GoBack"/>
      <w:bookmarkEnd w:id="0"/>
      <w:r>
        <w:rPr>
          <w:rFonts w:hint="eastAsia" w:ascii="仿宋_GB2312" w:eastAsia="仿宋_GB2312" w:cs="仿宋_GB2312"/>
          <w:bCs/>
          <w:kern w:val="0"/>
          <w:sz w:val="32"/>
          <w:szCs w:val="32"/>
        </w:rPr>
        <w:t>基金预算财政拨款收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 w:val="0"/>
          <w:bCs/>
          <w:kern w:val="0"/>
          <w:sz w:val="32"/>
          <w:szCs w:val="32"/>
          <w:highlight w:val="yellow"/>
          <w:lang w:val="en-US" w:eastAsia="zh-CN"/>
        </w:rPr>
      </w:pPr>
      <w:r>
        <w:rPr>
          <w:rFonts w:hint="eastAsia" w:ascii="仿宋_GB2312" w:eastAsia="仿宋_GB2312" w:cs="仿宋_GB2312"/>
          <w:b w:val="0"/>
          <w:bCs/>
          <w:kern w:val="0"/>
          <w:sz w:val="32"/>
          <w:szCs w:val="32"/>
          <w:highlight w:val="none"/>
          <w:lang w:val="en-US" w:eastAsia="zh-CN"/>
        </w:rPr>
        <w:t>本单位2020年度无国有资本经营预算财政拨款支出。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根据财政预算管理要求，我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组织对2020年度一般公共预算项目支出全面开展绩效自评。其中，一级项目</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222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，为：</w:t>
      </w:r>
      <w:r>
        <w:rPr>
          <w:rFonts w:hint="eastAsia" w:ascii="仿宋_GB2312" w:eastAsia="仿宋_GB2312" w:cs="仿宋_GB2312"/>
          <w:bCs/>
          <w:color w:val="auto"/>
          <w:kern w:val="0"/>
          <w:sz w:val="32"/>
          <w:szCs w:val="32"/>
          <w:u w:val="none"/>
          <w:lang w:val="en-US" w:eastAsia="zh-CN"/>
        </w:rPr>
        <w:t>柳州市中外优秀剧目“月月演”，</w:t>
      </w:r>
      <w:r>
        <w:rPr>
          <w:rFonts w:hint="eastAsia" w:ascii="仿宋_GB2312" w:eastAsia="仿宋_GB2312" w:cs="仿宋_GB2312"/>
          <w:bCs/>
          <w:kern w:val="0"/>
          <w:sz w:val="32"/>
          <w:szCs w:val="32"/>
        </w:rPr>
        <w:t xml:space="preserve">自评覆盖率达到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根据年初设定的绩效目标，</w:t>
      </w:r>
      <w:r>
        <w:rPr>
          <w:rFonts w:hint="eastAsia" w:ascii="仿宋_GB2312" w:eastAsia="仿宋_GB2312" w:cs="仿宋_GB2312"/>
          <w:bCs/>
          <w:color w:val="auto"/>
          <w:kern w:val="0"/>
          <w:sz w:val="32"/>
          <w:szCs w:val="32"/>
          <w:u w:val="none"/>
          <w:lang w:val="en-US" w:eastAsia="zh-CN"/>
        </w:rPr>
        <w:t>柳州市中外优秀剧目“月月演”</w:t>
      </w:r>
      <w:r>
        <w:rPr>
          <w:rFonts w:hint="eastAsia" w:ascii="仿宋_GB2312" w:eastAsia="仿宋_GB2312" w:cs="仿宋_GB2312"/>
          <w:kern w:val="0"/>
          <w:sz w:val="32"/>
          <w:szCs w:val="32"/>
        </w:rPr>
        <w:t xml:space="preserve"> 项目自评得分为</w:t>
      </w:r>
      <w:r>
        <w:rPr>
          <w:rFonts w:hint="eastAsia" w:ascii="仿宋_GB2312" w:eastAsia="仿宋_GB2312" w:cs="仿宋_GB2312"/>
          <w:kern w:val="0"/>
          <w:sz w:val="32"/>
          <w:szCs w:val="32"/>
          <w:lang w:val="en-US" w:eastAsia="zh-CN"/>
        </w:rPr>
        <w:t>87</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，共引进</w:t>
      </w:r>
      <w:r>
        <w:rPr>
          <w:rFonts w:hint="default" w:ascii="Times New Roman" w:hAnsi="Times New Roman" w:eastAsia="宋体" w:cs="Times New Roman"/>
          <w:color w:val="000000"/>
          <w:kern w:val="0"/>
          <w:sz w:val="32"/>
          <w:szCs w:val="32"/>
          <w:lang w:val="en-US" w:eastAsia="zh-CN" w:bidi="ar"/>
        </w:rPr>
        <w:t>16</w:t>
      </w:r>
      <w:r>
        <w:rPr>
          <w:rFonts w:ascii="仿宋" w:hAnsi="仿宋" w:eastAsia="仿宋" w:cs="仿宋"/>
          <w:color w:val="000000"/>
          <w:kern w:val="0"/>
          <w:sz w:val="32"/>
          <w:szCs w:val="32"/>
          <w:lang w:val="en-US" w:eastAsia="zh-CN" w:bidi="ar"/>
        </w:rPr>
        <w:t>个项</w:t>
      </w:r>
      <w:r>
        <w:rPr>
          <w:rFonts w:hint="eastAsia" w:ascii="仿宋" w:hAnsi="仿宋" w:eastAsia="仿宋" w:cs="仿宋"/>
          <w:color w:val="000000"/>
          <w:kern w:val="0"/>
          <w:sz w:val="32"/>
          <w:szCs w:val="32"/>
          <w:lang w:val="en-US" w:eastAsia="zh-CN" w:bidi="ar"/>
        </w:rPr>
        <w:t>目共计</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场演出；衍生项目</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儿童新剧月月看</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吸引青少年观众近万人次</w:t>
      </w:r>
      <w:r>
        <w:rPr>
          <w:rFonts w:hint="eastAsia" w:ascii="仿宋_GB2312" w:eastAsia="仿宋_GB2312" w:cs="仿宋_GB2312"/>
          <w:kern w:val="0"/>
          <w:sz w:val="32"/>
          <w:szCs w:val="32"/>
        </w:rPr>
        <w:t>。发现的主要问题及原因：2020年受疫情影响，导致艺术中心未正常营业，许多演出无法进行，演出场次未及时完成。下一步改进措施：一是</w:t>
      </w:r>
      <w:r>
        <w:rPr>
          <w:rFonts w:ascii="仿宋" w:hAnsi="仿宋" w:eastAsia="仿宋" w:cs="仿宋"/>
          <w:color w:val="000000"/>
          <w:kern w:val="0"/>
          <w:sz w:val="32"/>
          <w:szCs w:val="32"/>
          <w:lang w:val="en-US" w:eastAsia="zh-CN" w:bidi="ar"/>
        </w:rPr>
        <w:t>今后工作中结合项目实际</w:t>
      </w:r>
      <w:r>
        <w:rPr>
          <w:rFonts w:hint="eastAsia" w:ascii="仿宋" w:hAnsi="仿宋" w:eastAsia="仿宋" w:cs="仿宋"/>
          <w:color w:val="000000"/>
          <w:kern w:val="0"/>
          <w:sz w:val="32"/>
          <w:szCs w:val="32"/>
          <w:lang w:val="en-US" w:eastAsia="zh-CN" w:bidi="ar"/>
        </w:rPr>
        <w:t>情况提前规划安排，统筹全局科学合理制订工作计划，加强对项目工作的指导力度</w:t>
      </w:r>
      <w:r>
        <w:rPr>
          <w:rFonts w:hint="eastAsia" w:ascii="仿宋_GB2312" w:eastAsia="仿宋_GB2312" w:cs="仿宋_GB2312"/>
          <w:kern w:val="0"/>
          <w:sz w:val="32"/>
          <w:szCs w:val="32"/>
        </w:rPr>
        <w:t>；二是</w:t>
      </w:r>
      <w:r>
        <w:rPr>
          <w:rFonts w:ascii="仿宋" w:hAnsi="仿宋" w:eastAsia="仿宋" w:cs="仿宋"/>
          <w:color w:val="000000"/>
          <w:kern w:val="0"/>
          <w:sz w:val="32"/>
          <w:szCs w:val="32"/>
          <w:lang w:val="en-US" w:eastAsia="zh-CN" w:bidi="ar"/>
        </w:rPr>
        <w:t>及时协调项目实施过程中遇到的阻</w:t>
      </w:r>
      <w:r>
        <w:rPr>
          <w:rFonts w:hint="eastAsia" w:ascii="仿宋" w:hAnsi="仿宋" w:eastAsia="仿宋" w:cs="仿宋"/>
          <w:color w:val="000000"/>
          <w:kern w:val="0"/>
          <w:sz w:val="32"/>
          <w:szCs w:val="32"/>
          <w:lang w:val="en-US" w:eastAsia="zh-CN" w:bidi="ar"/>
        </w:rPr>
        <w:t>力并积极与项目有关方沟通了解，对遇到的问题及时解决，确保项目后续工作及时启动开展</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万元，比 2019年增加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%，增（减）原因</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hint="eastAsia" w:ascii="仿宋_GB2312" w:eastAsia="仿宋_GB2312"/>
          <w:b/>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9"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C1367"/>
    <w:rsid w:val="00715385"/>
    <w:rsid w:val="00F66C5B"/>
    <w:rsid w:val="07307F12"/>
    <w:rsid w:val="076B26CE"/>
    <w:rsid w:val="0D704807"/>
    <w:rsid w:val="0E074DDF"/>
    <w:rsid w:val="101E192A"/>
    <w:rsid w:val="112E6ED3"/>
    <w:rsid w:val="124204B5"/>
    <w:rsid w:val="13E224CF"/>
    <w:rsid w:val="14C21E0E"/>
    <w:rsid w:val="14E80373"/>
    <w:rsid w:val="182962AB"/>
    <w:rsid w:val="19D073EB"/>
    <w:rsid w:val="1CC31F67"/>
    <w:rsid w:val="23124DA8"/>
    <w:rsid w:val="24D337DC"/>
    <w:rsid w:val="26460DBA"/>
    <w:rsid w:val="27F75091"/>
    <w:rsid w:val="2B6F74EB"/>
    <w:rsid w:val="2C4219FE"/>
    <w:rsid w:val="31320525"/>
    <w:rsid w:val="33240FB6"/>
    <w:rsid w:val="34020F86"/>
    <w:rsid w:val="36FB5CAB"/>
    <w:rsid w:val="39A63F06"/>
    <w:rsid w:val="3C2E496F"/>
    <w:rsid w:val="3ED1439F"/>
    <w:rsid w:val="3F222CB9"/>
    <w:rsid w:val="40585965"/>
    <w:rsid w:val="44F714C9"/>
    <w:rsid w:val="450604EC"/>
    <w:rsid w:val="457D41C2"/>
    <w:rsid w:val="48374EDC"/>
    <w:rsid w:val="4938395C"/>
    <w:rsid w:val="49951F6A"/>
    <w:rsid w:val="4BCD7EDC"/>
    <w:rsid w:val="4C256E3D"/>
    <w:rsid w:val="4CB52F0F"/>
    <w:rsid w:val="532F1F9A"/>
    <w:rsid w:val="561A33A8"/>
    <w:rsid w:val="59E47DDD"/>
    <w:rsid w:val="5CB77ADD"/>
    <w:rsid w:val="5E3B77C8"/>
    <w:rsid w:val="5E995A3E"/>
    <w:rsid w:val="5F4121AE"/>
    <w:rsid w:val="62163194"/>
    <w:rsid w:val="624D024D"/>
    <w:rsid w:val="650E086A"/>
    <w:rsid w:val="6A724C03"/>
    <w:rsid w:val="6BAA0708"/>
    <w:rsid w:val="6C636AA1"/>
    <w:rsid w:val="6E705C17"/>
    <w:rsid w:val="6F675AC1"/>
    <w:rsid w:val="75EB41FB"/>
    <w:rsid w:val="788C4BC4"/>
    <w:rsid w:val="7C5A5EA7"/>
    <w:rsid w:val="7EB70FAA"/>
    <w:rsid w:val="7EB7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4747</Words>
  <Characters>5252</Characters>
  <Lines>60</Lines>
  <Paragraphs>17</Paragraphs>
  <TotalTime>3</TotalTime>
  <ScaleCrop>false</ScaleCrop>
  <LinksUpToDate>false</LinksUpToDate>
  <CharactersWithSpaces>5382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2022-09-13T02:38:29Z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3E2717A2A11A42ECB10C253F7589174F</vt:lpwstr>
  </property>
</Properties>
</file>