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鱼峰区人民检察院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年度决算公开</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鱼峰检察院</w:t>
      </w:r>
      <w:r>
        <w:rPr>
          <w:rFonts w:hint="eastAsia" w:ascii="仿宋_GB2312" w:eastAsia="仿宋_GB2312"/>
          <w:b/>
          <w:sz w:val="32"/>
          <w:szCs w:val="32"/>
        </w:rPr>
        <w:t>概况</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主要职能</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鱼峰检察院</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w:t>
      </w:r>
      <w:r>
        <w:rPr>
          <w:rFonts w:hint="eastAsia" w:ascii="仿宋_GB2312" w:hAnsi="黑体" w:eastAsia="仿宋_GB2312"/>
          <w:color w:val="000000" w:themeColor="text1"/>
          <w:sz w:val="32"/>
          <w:szCs w:val="32"/>
        </w:rPr>
        <w:t>款</w:t>
      </w:r>
      <w:r>
        <w:rPr>
          <w:rFonts w:hint="eastAsia" w:ascii="仿宋_GB2312" w:eastAsia="仿宋_GB2312"/>
          <w:color w:val="000000" w:themeColor="text1"/>
          <w:sz w:val="32"/>
          <w:szCs w:val="32"/>
        </w:rPr>
        <w:t>收入支</w:t>
      </w:r>
      <w:r>
        <w:rPr>
          <w:rFonts w:hint="eastAsia" w:ascii="仿宋_GB2312" w:eastAsia="仿宋_GB2312"/>
          <w:sz w:val="32"/>
          <w:szCs w:val="32"/>
        </w:rPr>
        <w:t>出决算表</w:t>
      </w:r>
    </w:p>
    <w:p>
      <w:pPr>
        <w:ind w:left="645"/>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鱼峰检察院</w:t>
      </w:r>
      <w:r>
        <w:rPr>
          <w:rFonts w:hint="eastAsia" w:ascii="仿宋_GB2312" w:eastAsia="仿宋_GB2312"/>
          <w:b/>
          <w:sz w:val="32"/>
          <w:szCs w:val="32"/>
        </w:rPr>
        <w:t>2020年度决算情况说明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hAnsi="黑体" w:eastAsia="仿宋_GB2312"/>
          <w:color w:val="000000" w:themeColor="text1"/>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鱼峰检察院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numPr>
          <w:ilvl w:val="0"/>
          <w:numId w:val="2"/>
        </w:numPr>
        <w:spacing w:line="560" w:lineRule="exact"/>
        <w:rPr>
          <w:rFonts w:ascii="仿宋_GB2312" w:eastAsia="仿宋_GB2312"/>
          <w:sz w:val="30"/>
          <w:szCs w:val="30"/>
        </w:rPr>
      </w:pPr>
      <w:r>
        <w:rPr>
          <w:rFonts w:hint="eastAsia" w:ascii="仿宋_GB2312" w:eastAsia="仿宋_GB2312"/>
          <w:sz w:val="30"/>
          <w:szCs w:val="30"/>
        </w:rPr>
        <w:t>基本职能</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柳州市鱼峰区人民检察院是国家法律监督机关，依法独立行使检察权，维护国家法律的正确实施，严厉打击各种刑事犯罪。对公安机关、国家安全机关等侦查机关侦查的案件进行审查，决定是否逮捕、起诉或者不起诉，并对侦查机关的侦查活动是否合法实行监督；对刑事案件提起公诉，支持公诉；对人民法院的刑事判决、裁定是否正确和审判活动是否合法实行监督；对监狱、看守所等执行机关执行刑罚的活动是否合法实行监督；对人民法院的民事审判活动实行法律监督，对人民法院已经发生效力的判决、裁定，发现违反法律、法规规定的，依法提出抗诉；对行政诉讼实行法律监督;对人民法院已经发生效力的判决、裁定发现违反法律、法规规定的，依法提出抗诉；同时接受同级人大常委会的法律监督，政协和社会各界人士的民主监督，对同级人民代表大会及其常务委员会负责并报告工作。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（二）主要工作</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认真履行法律监督职责。强化监督意识，进一步突出侦查监督和诉讼监督重点，抓住关系民生的突出问题，重点监督、纠正有案不立、以罚代刑、裁判不公等问题，增强群众对公正司法的信心。整合监督力量，完善不同诉讼阶段的通报制度和备案制度，加强内部各职能部门的监督配合。完善监督评价、绩效考核等激励机制，进一步调动和激发检察人员的监督积极性。加强与政法各单位的沟通联系，积极营造良好的监督环境。创新工作方式，进一步提高诉讼监督实效，在总结工作经验的基础上，创新思路，破解难点。 </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加强干部队伍建设。坚持以党建带队建，深入推进队伍思想教育培训，坚定理想信念，建立检察职业道德教育的长效机制，打牢公正廉洁执法的思想根基。扎实开展社会主义法治理念教育和依法办案警示教育，培育良好的职业道德和职业操守，忠实的品格和敬业精神，推进高层次人才建设。强化自身监督，坚持从严治检，认真落实党风廉政建设责任制，以加强纪律作风建设作为监督管理队伍的一个重要手段，适时开展以加强作风建设为的专题活动，促进全体检察人员的作风转变。    </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提高执法规范化程度。加强对执法办案活动的监督，强化对办案的全程监督力度，对重点执法岗位、执法环节、执法人员的认真开展执法规范化监督，适时开展遵守检风检纪情况的检务督察，确保公正执法，依法办案。同时，牢固树立监督者更要接受监督的意识，坚持将检察工作置于人大和社会各界监督之下，积极邀请人大代表、政协委员、特约检察员、人民监督员参加观摩案件庭审和案件评查，广泛听取意见和建议，有针对性地改进我院检察工作。 </w:t>
      </w:r>
    </w:p>
    <w:p>
      <w:pPr>
        <w:ind w:firstLine="646"/>
        <w:rPr>
          <w:rFonts w:ascii="仿宋_GB2312" w:eastAsia="仿宋_GB2312"/>
          <w:sz w:val="32"/>
          <w:szCs w:val="32"/>
        </w:rPr>
      </w:pPr>
      <w:r>
        <w:rPr>
          <w:rFonts w:hint="eastAsia" w:ascii="仿宋_GB2312" w:eastAsia="仿宋_GB2312"/>
          <w:sz w:val="32"/>
          <w:szCs w:val="32"/>
        </w:rPr>
        <w:t>二、决算单位构成</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柳州市鱼峰区人民检察院单位性质为行政单位，无下属二级单位。 </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单位人员编制总数为48个，其中政法专项编制43个。实有财政供养人数40人，其中在职干警40人，事业在职0人，离退休人员20人。 </w:t>
      </w: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鱼峰检察院</w:t>
      </w:r>
      <w:r>
        <w:rPr>
          <w:rFonts w:hint="eastAsia" w:ascii="仿宋_GB2312" w:eastAsia="仿宋_GB2312"/>
          <w:b/>
          <w:sz w:val="32"/>
          <w:szCs w:val="32"/>
        </w:rPr>
        <w:t xml:space="preserve"> 2020年决算报表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tbl>
      <w:tblPr>
        <w:tblStyle w:val="5"/>
        <w:tblW w:w="8813" w:type="dxa"/>
        <w:jc w:val="center"/>
        <w:tblLayout w:type="fixed"/>
        <w:tblCellMar>
          <w:top w:w="0" w:type="dxa"/>
          <w:left w:w="108" w:type="dxa"/>
          <w:bottom w:w="0" w:type="dxa"/>
          <w:right w:w="108" w:type="dxa"/>
        </w:tblCellMar>
      </w:tblPr>
      <w:tblGrid>
        <w:gridCol w:w="2895"/>
        <w:gridCol w:w="1085"/>
        <w:gridCol w:w="3123"/>
        <w:gridCol w:w="1710"/>
      </w:tblGrid>
      <w:tr>
        <w:tblPrEx>
          <w:tblCellMar>
            <w:top w:w="0" w:type="dxa"/>
            <w:left w:w="108" w:type="dxa"/>
            <w:bottom w:w="0" w:type="dxa"/>
            <w:right w:w="108" w:type="dxa"/>
          </w:tblCellMar>
        </w:tblPrEx>
        <w:trPr>
          <w:wAfter w:w="0" w:type="auto"/>
          <w:trHeight w:val="570" w:hRule="atLeast"/>
          <w:jc w:val="center"/>
        </w:trPr>
        <w:tc>
          <w:tcPr>
            <w:tcW w:w="8813"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83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989.94</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六、公共安全支出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782.21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703.13</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七、社会保障和就业支出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106.03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八、卫生健康支出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65.06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九、住房保障支出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36.64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十、其他支出</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703.13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1693.07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1693.07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316.6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316.3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2009.67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2009.67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single" w:color="auto" w:sz="4" w:space="0"/>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1,693.07</w:t>
            </w:r>
          </w:p>
        </w:tc>
        <w:tc>
          <w:tcPr>
            <w:tcW w:w="154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989.94</w:t>
            </w:r>
          </w:p>
        </w:tc>
        <w:tc>
          <w:tcPr>
            <w:tcW w:w="154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540" w:type="dxa"/>
            <w:tcBorders>
              <w:top w:val="single" w:color="auto" w:sz="4" w:space="0"/>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703.13</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公共安全支出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检察</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2040401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2040402</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296.08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296.08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2040410</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检察监督</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36.38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36.38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8.63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8.63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2080506</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p>
        </w:tc>
        <w:tc>
          <w:tcPr>
            <w:tcW w:w="2400" w:type="dxa"/>
            <w:tcBorders>
              <w:top w:val="nil"/>
              <w:left w:val="nil"/>
              <w:bottom w:val="single" w:color="auto" w:sz="4" w:space="0"/>
              <w:right w:val="single" w:color="auto" w:sz="4" w:space="0"/>
            </w:tcBorders>
            <w:vAlign w:val="center"/>
          </w:tcPr>
          <w:p>
            <w:pPr>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hint="eastAsia" w:cs="Arial"/>
                <w:color w:val="00000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2101103</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2299901</w:t>
            </w:r>
          </w:p>
        </w:tc>
        <w:tc>
          <w:tcPr>
            <w:tcW w:w="24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r>
    </w:tbl>
    <w:p/>
    <w:p>
      <w:r>
        <w:rPr>
          <w:rFonts w:hint="eastAsia"/>
        </w:rPr>
        <w:t>注：本表反映本年度取得的各项收入情况。</w:t>
      </w:r>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1,693.07</w:t>
            </w:r>
          </w:p>
        </w:tc>
        <w:tc>
          <w:tcPr>
            <w:tcW w:w="1842"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1,023.05</w:t>
            </w:r>
          </w:p>
        </w:tc>
        <w:tc>
          <w:tcPr>
            <w:tcW w:w="1701"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670.02</w:t>
            </w:r>
          </w:p>
        </w:tc>
        <w:tc>
          <w:tcPr>
            <w:tcW w:w="1701"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公共安全支出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332.46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检察</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332.46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2040401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2040402</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296.08</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296.08</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2040410</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检察监督</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36.38</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36.38</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8.63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8.63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2080506</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2101103</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365.56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337.56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365.56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337.56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2299901</w:t>
            </w:r>
          </w:p>
        </w:tc>
        <w:tc>
          <w:tcPr>
            <w:tcW w:w="181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703.13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365.56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337.56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注：本表反映本年度各项支出情况。</w:t>
      </w:r>
    </w:p>
    <w:p/>
    <w:p/>
    <w:p/>
    <w:p/>
    <w:p/>
    <w:p/>
    <w:p/>
    <w:p/>
    <w:p/>
    <w:p/>
    <w:p/>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Spec="center" w:tblpY="24"/>
        <w:tblOverlap w:val="never"/>
        <w:tblW w:w="13765" w:type="dxa"/>
        <w:jc w:val="center"/>
        <w:tblLayout w:type="fixed"/>
        <w:tblCellMar>
          <w:top w:w="0" w:type="dxa"/>
          <w:left w:w="108" w:type="dxa"/>
          <w:bottom w:w="0" w:type="dxa"/>
          <w:right w:w="108" w:type="dxa"/>
        </w:tblCellMar>
      </w:tblPr>
      <w:tblGrid>
        <w:gridCol w:w="4858"/>
        <w:gridCol w:w="551"/>
        <w:gridCol w:w="936"/>
        <w:gridCol w:w="3007"/>
        <w:gridCol w:w="681"/>
        <w:gridCol w:w="1267"/>
        <w:gridCol w:w="1149"/>
        <w:gridCol w:w="1316"/>
      </w:tblGrid>
      <w:tr>
        <w:tblPrEx>
          <w:tblCellMar>
            <w:top w:w="0" w:type="dxa"/>
            <w:left w:w="108" w:type="dxa"/>
            <w:bottom w:w="0" w:type="dxa"/>
            <w:right w:w="108" w:type="dxa"/>
          </w:tblCellMar>
        </w:tblPrEx>
        <w:trPr>
          <w:trHeight w:val="300" w:hRule="atLeast"/>
          <w:jc w:val="center"/>
        </w:trPr>
        <w:tc>
          <w:tcPr>
            <w:tcW w:w="6345"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420"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0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0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989.94</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93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106.03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106.03</w:t>
            </w:r>
          </w:p>
        </w:tc>
        <w:tc>
          <w:tcPr>
            <w:tcW w:w="131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0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七、公共安全支出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782.21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782.21</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65.06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65.06</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36.64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36.64</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9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989.94　</w:t>
            </w:r>
          </w:p>
        </w:tc>
        <w:tc>
          <w:tcPr>
            <w:tcW w:w="300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989.94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9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157.8　</w:t>
            </w:r>
          </w:p>
        </w:tc>
        <w:tc>
          <w:tcPr>
            <w:tcW w:w="300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157.8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9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157.8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93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9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0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936" w:type="dxa"/>
            <w:tcBorders>
              <w:top w:val="nil"/>
              <w:left w:val="nil"/>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1147.75</w:t>
            </w:r>
          </w:p>
        </w:tc>
        <w:tc>
          <w:tcPr>
            <w:tcW w:w="300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1147.75　</w:t>
            </w:r>
          </w:p>
        </w:tc>
      </w:tr>
    </w:tbl>
    <w:p>
      <w:pPr>
        <w:jc w:val="right"/>
        <w:rPr>
          <w:sz w:val="22"/>
          <w:szCs w:val="22"/>
        </w:rPr>
      </w:pPr>
      <w:r>
        <w:rPr>
          <w:rFonts w:hint="eastAsia"/>
          <w:sz w:val="22"/>
          <w:szCs w:val="22"/>
        </w:rPr>
        <w:t>单位：万元</w:t>
      </w:r>
    </w:p>
    <w:p>
      <w:r>
        <w:rPr>
          <w:rFonts w:hint="eastAsia"/>
        </w:rPr>
        <w:t>注：本表反映本年度一般公共预算财政拨款和政府性基金预算财政拨款的总收支和年末结转结余情况。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tblInd w:w="0" w:type="dxa"/>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989.94</w:t>
            </w:r>
          </w:p>
        </w:tc>
        <w:tc>
          <w:tcPr>
            <w:tcW w:w="2900"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657.48</w:t>
            </w:r>
          </w:p>
        </w:tc>
        <w:tc>
          <w:tcPr>
            <w:tcW w:w="3396" w:type="dxa"/>
            <w:tcBorders>
              <w:top w:val="nil"/>
              <w:left w:val="nil"/>
              <w:bottom w:val="single" w:color="auto" w:sz="4" w:space="0"/>
              <w:right w:val="single" w:color="auto" w:sz="4" w:space="0"/>
            </w:tcBorders>
            <w:vAlign w:val="center"/>
          </w:tcPr>
          <w:p>
            <w:pPr>
              <w:jc w:val="right"/>
              <w:rPr>
                <w:rFonts w:ascii="宋体" w:hAnsi="宋体" w:cs="Arial"/>
                <w:b/>
                <w:bCs/>
                <w:color w:val="000000"/>
                <w:sz w:val="22"/>
                <w:szCs w:val="22"/>
              </w:rPr>
            </w:pPr>
            <w:r>
              <w:rPr>
                <w:rFonts w:hint="eastAsia" w:cs="Arial"/>
                <w:b/>
                <w:bCs/>
                <w:color w:val="000000"/>
                <w:sz w:val="22"/>
                <w:szCs w:val="22"/>
              </w:rPr>
              <w:t>332.46</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公共安全支出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332.46</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检察</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782.21</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332.46</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449.75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2040402</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296.08</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296.08</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2040410</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检察监督</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36.38</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36.38</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106.03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8.63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8.63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2080506</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65.06</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2101103</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注：本表反映本年度一般公共预算财政拨款实际支出情况。</w:t>
      </w:r>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151" w:type="dxa"/>
        <w:jc w:val="center"/>
        <w:tblLayout w:type="fixed"/>
        <w:tblCellMar>
          <w:top w:w="0" w:type="dxa"/>
          <w:left w:w="108" w:type="dxa"/>
          <w:bottom w:w="0" w:type="dxa"/>
          <w:right w:w="108" w:type="dxa"/>
        </w:tblCellMar>
      </w:tblPr>
      <w:tblGrid>
        <w:gridCol w:w="916"/>
        <w:gridCol w:w="3240"/>
        <w:gridCol w:w="831"/>
        <w:gridCol w:w="849"/>
        <w:gridCol w:w="1710"/>
        <w:gridCol w:w="1605"/>
      </w:tblGrid>
      <w:tr>
        <w:tblPrEx>
          <w:tblCellMar>
            <w:top w:w="0" w:type="dxa"/>
            <w:left w:w="108" w:type="dxa"/>
            <w:bottom w:w="0" w:type="dxa"/>
            <w:right w:w="108" w:type="dxa"/>
          </w:tblCellMar>
        </w:tblPrEx>
        <w:trPr>
          <w:trHeight w:val="564"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jc w:val="center"/>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工资福利支出</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542.87</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商品和服务支出</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108.45</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30101</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基本工资</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156.46</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30201</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办公费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14.11</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30102</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津贴补贴</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156.49</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30202</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印刷费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0.53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30103</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奖金</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30.35</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30203</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咨询费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30106</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伙食补助费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30204</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手续费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30107</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绩效工资</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30205</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水费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1.42</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30108</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64.93</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30206</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电费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5.33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30109</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职业年金缴费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32.47</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30207</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邮电费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30110</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职工基本医疗保险缴费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30.44</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30208</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取暖费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30111</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公务员医疗补助缴费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34.62</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30209</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物业管理费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0.82</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30112</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其他社会保障缴费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0.46</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30211</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差旅费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9.71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30113</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30212</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因公出国（境）费用</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30114</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医疗费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30213</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维修（护）费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2.67</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30199</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其他工资福利支出</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30214</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租赁费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对个人和家庭的补助</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6.16</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30215</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会议费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30301</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离休费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30216</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培训费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3.28</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30302</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退休费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6.16</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30217</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公务接待费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30303</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退职（役）费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30218</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专用材料费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30304</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抚恤金</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30224</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被装购置费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30305</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生活补助</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30225</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专用燃料费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30306</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救济费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30226</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劳务费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30307</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医疗费补助</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30227</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委托业务费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30308</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助学金</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30228</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工会经费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8.12</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30309</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奖励金</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30229</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福利费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30310</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个人农业生产补贴</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30231</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公务用车运行维护费</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30311</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代缴社会保险费</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30239</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其他交通费用</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33.40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30399</w:t>
            </w: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其他对个人和家庭的补助</w:t>
            </w: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30240</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税金及附加费用</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p>
        </w:tc>
        <w:tc>
          <w:tcPr>
            <w:tcW w:w="32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p>
        </w:tc>
        <w:tc>
          <w:tcPr>
            <w:tcW w:w="83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849"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30299</w:t>
            </w:r>
          </w:p>
        </w:tc>
        <w:tc>
          <w:tcPr>
            <w:tcW w:w="171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其他商品和服务支出</w:t>
            </w:r>
          </w:p>
        </w:tc>
        <w:tc>
          <w:tcPr>
            <w:tcW w:w="160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18.72</w:t>
            </w:r>
          </w:p>
        </w:tc>
      </w:tr>
      <w:tr>
        <w:tblPrEx>
          <w:tblCellMar>
            <w:top w:w="0" w:type="dxa"/>
            <w:left w:w="108" w:type="dxa"/>
            <w:bottom w:w="0" w:type="dxa"/>
            <w:right w:w="108" w:type="dxa"/>
          </w:tblCellMar>
        </w:tblPrEx>
        <w:trPr>
          <w:trHeight w:val="264" w:hRule="atLeast"/>
          <w:jc w:val="center"/>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jc w:val="left"/>
              <w:rPr>
                <w:rFonts w:ascii="宋体" w:hAnsi="宋体" w:cs="Arial"/>
                <w:color w:val="000000"/>
                <w:sz w:val="22"/>
                <w:szCs w:val="22"/>
              </w:rPr>
            </w:pPr>
            <w:r>
              <w:rPr>
                <w:rFonts w:hint="eastAsia" w:cs="Arial"/>
                <w:color w:val="000000"/>
                <w:sz w:val="22"/>
                <w:szCs w:val="22"/>
              </w:rPr>
              <w:t>549.03</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108.45</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17.96</w:t>
            </w:r>
          </w:p>
        </w:tc>
        <w:tc>
          <w:tcPr>
            <w:tcW w:w="160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2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17.96</w:t>
            </w:r>
          </w:p>
        </w:tc>
        <w:tc>
          <w:tcPr>
            <w:tcW w:w="12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15.26</w:t>
            </w:r>
          </w:p>
        </w:tc>
        <w:tc>
          <w:tcPr>
            <w:tcW w:w="12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2.70</w:t>
            </w:r>
          </w:p>
        </w:tc>
        <w:tc>
          <w:tcPr>
            <w:tcW w:w="121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0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17.96</w:t>
            </w:r>
          </w:p>
        </w:tc>
        <w:tc>
          <w:tcPr>
            <w:tcW w:w="156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0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17.96</w:t>
            </w:r>
          </w:p>
        </w:tc>
        <w:tc>
          <w:tcPr>
            <w:tcW w:w="139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15.26</w:t>
            </w:r>
          </w:p>
        </w:tc>
        <w:tc>
          <w:tcPr>
            <w:tcW w:w="120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2.70</w:t>
            </w:r>
          </w:p>
        </w:tc>
        <w:tc>
          <w:tcPr>
            <w:tcW w:w="118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注：本表反映本年度政府性基金预算财政拨款收入支出及结转和结余情况。</w:t>
      </w:r>
    </w:p>
    <w:p>
      <w:pPr>
        <w:ind w:firstLine="420" w:firstLineChars="200"/>
        <w:rPr>
          <w:rFonts w:ascii="仿宋_GB2312" w:hAnsi="黑体" w:eastAsia="仿宋_GB2312"/>
          <w:sz w:val="32"/>
          <w:szCs w:val="32"/>
        </w:rPr>
      </w:pPr>
      <w:r>
        <w:rPr>
          <w:rFonts w:hint="eastAsia"/>
        </w:rPr>
        <w:t>鱼峰检察院没有政府性基金预算财政拨款收入，也没有政府性基金预算财政拨款安排的支出，故本表无数据。</w:t>
      </w:r>
    </w:p>
    <w:p>
      <w:pPr>
        <w:jc w:val="center"/>
      </w:pPr>
    </w:p>
    <w:p>
      <w:pPr>
        <w:spacing w:line="560" w:lineRule="exact"/>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宋体" w:hAnsi="宋体" w:cs="宋体"/>
                <w:color w:val="000000"/>
                <w:kern w:val="0"/>
                <w:sz w:val="24"/>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9"/>
                <w:rFonts w:hint="default"/>
              </w:rPr>
              <w:t xml:space="preserve">   </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976"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注：本表反映本年度国有资本经营预算财政拨款支出情况。</w:t>
            </w:r>
          </w:p>
          <w:p>
            <w:pPr>
              <w:ind w:firstLine="420" w:firstLineChars="200"/>
              <w:rPr>
                <w:rFonts w:ascii="仿宋_GB2312" w:hAnsi="黑体" w:eastAsia="仿宋_GB2312"/>
                <w:sz w:val="32"/>
                <w:szCs w:val="32"/>
              </w:rPr>
            </w:pPr>
            <w:r>
              <w:rPr>
                <w:rFonts w:hint="eastAsia"/>
              </w:rPr>
              <w:t>鱼峰检察院没有国有资本经营预算财政拨款收入，也没有国有资本经营预算财政拨款安排的支出，故本表无数据。</w:t>
            </w:r>
          </w:p>
          <w:p>
            <w:pPr>
              <w:jc w:val="center"/>
            </w:pPr>
          </w:p>
          <w:p>
            <w:pPr>
              <w:spacing w:line="560" w:lineRule="exact"/>
              <w:ind w:firstLine="420"/>
            </w:pPr>
          </w:p>
          <w:p>
            <w:pPr>
              <w:widowControl/>
              <w:jc w:val="left"/>
              <w:textAlignment w:val="center"/>
              <w:rPr>
                <w:rFonts w:ascii="宋体" w:hAnsi="宋体" w:cs="宋体"/>
                <w:color w:val="000000"/>
                <w:sz w:val="24"/>
              </w:rPr>
            </w:pP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鱼峰区人民检察院</w:t>
      </w:r>
      <w:r>
        <w:rPr>
          <w:rFonts w:hint="eastAsia" w:ascii="仿宋_GB2312" w:eastAsia="仿宋_GB2312"/>
          <w:b/>
          <w:sz w:val="32"/>
          <w:szCs w:val="32"/>
        </w:rPr>
        <w:t>2020年度决算情况说明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2020年度收入总计1693.07万元，支出总计1693.07万元，与2019年相比，收、支分别增加-128.5万元，56.5万元；分别增长-7.59%、3.45%。</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本年收入总计1693.07万元，其中：一般公共预算财政拨款收入989.94万元；占比58.47% ；政府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基金预算财政拨款收入0万元；占比0%；上级补助收入0万元，占比0% ；事业收入0万元，占比0%；事业单位经营收入0万元，占比0%；其他收入703.13万元，占比41.53%。</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本年支出合计1693.07万元，其中：基本支出 1023.05万元，占 60.43%；项目支出 670.02万元， 占39.57%；经营支出0万元，占 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2020年度财政拨款收、支总决算 989.94万元、989.94万元。与 2019 年相比，财政拨款收、支总计各增加-680.68 万元，-569.75万元，增长-40.74%，-36.53%。</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 989.94 万元，占本年支出合计的 58.47%。与 2019 年相比，财政拨款支出减 569.75万元，下降36.53%。</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989.94 万元，主要用于以下方面：一般公共服务（类）支出 0万元， 占0%；公共安全支出782.21万元，占79.02%；社会保障和就业支出106.03万元，占10.71%；卫生健康支出65.06万元，占6.57%，住房保障（类）支出36.64万元，占 3.7%。</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年度财政拨款支出年初预算为0万元，支出决算为989.94 万元，支出决算数大于预算数，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1.一般公共安全支出（类）检察（款）行政运行（项）。 年初预算为0万元，基本支出决算为</w:t>
      </w:r>
      <w:r>
        <w:rPr>
          <w:rFonts w:ascii="仿宋_GB2312" w:eastAsia="仿宋_GB2312" w:cs="仿宋_GB2312"/>
          <w:bCs/>
          <w:kern w:val="0"/>
          <w:sz w:val="32"/>
          <w:szCs w:val="32"/>
        </w:rPr>
        <w:t>449.75</w:t>
      </w:r>
      <w:r>
        <w:rPr>
          <w:rFonts w:hint="eastAsia" w:ascii="仿宋_GB2312" w:eastAsia="仿宋_GB2312" w:cs="仿宋_GB2312"/>
          <w:bCs/>
          <w:kern w:val="0"/>
          <w:sz w:val="32"/>
          <w:szCs w:val="32"/>
        </w:rPr>
        <w:t xml:space="preserve"> 万元， 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一般公共安全支出（类）检察（款）一般行政管理事 务（项）。年初预算为 0 万元，项目支出决算为296.08 万元。 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一般公共安全支出（类）检察（款）检察监督（项）。年初预算为0万元，项目支出决算为36.38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 社会保障和就业支出（类）行政事业单位养老支出（款）行政单位离退休（项）。年初预算为0万元，基本支出决算为8.63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5、社会保障和就业支出（类）行政事业单位养老支出（款）  机关事业单位基本养老保险缴费支出（项）。年初预算为0万元，基本支出决算为64.93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社会保障和就业支出（类）行政事业单位养老支出（款）机关事业单位职业年金缴费支出（项）。年初预算为0万元，基本支出决算为32.47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卫生健康支出（类）行政事业单位医疗（款）行政单位医疗（项）。年初预算为0万元，基本支出决算为30.44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卫生健康支出（类）行政事业单位医疗（款）公务员医疗补助（项）。年初预算为0万元，基本支出决算为34.62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住房保障支出（类）住房改革支出（款）住房公积金（项）。年初预算为0万元，基本支出决算为36.64万元。2020年预算数为0元，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2020年度财政拨款基本支出657.48万元，其中：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人员经费549.03万元，主要包括：基本工资、津贴补贴、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公用经费108.45万元，主要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七、2020 年度一般公共预算财政拨款“三公” 经费支出决算情况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17.96万元，支出决算为17.96万元，完成预算的100%，其中：因公出国（境）费支出决算为0万元，完成预算的0%；公务用车购置及运行费支出决算为17.96万元，完成预算的100%；公务接待费支出决算为0万元，完成预算的0%。2020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10.21万元，增加131.74%，其中：因公出国（境）费支出决算减少0万元，下降0%；公务用车购置及运行费支出决算增加15.26万元，增加100%；公务接待费支出决算减少0万元，下降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因公出国（境）费支出与上年持平；公务用车购置及运行费支出增加的主要原因是2020年新购入一辆公务车；公务接待费支出与上年持平。</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支出决算17.96万元，占100 %；公务接待费支出决算0 万元，占0 %。具体情况如下：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2.公务用车购置及运行费支出17.96万元。其中： 公务用车购置支出为15.26万元。公务用车运行支出2.7万元。主要用于本院公务用车维护运行等费用。2020年，机关所属单位开支财政拨款的公务用车保有量为6辆。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外宾接待支出0万元。2020 年共接待国（境）外来访团组0个、来访外宾0人次。</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国内公务接待支出0万元。2020 年共接待国内来访团组0个、来宾0人次。</w:t>
      </w:r>
    </w:p>
    <w:p>
      <w:pPr>
        <w:autoSpaceDE w:val="0"/>
        <w:autoSpaceDN w:val="0"/>
        <w:adjustRightInd w:val="0"/>
        <w:spacing w:line="580" w:lineRule="exact"/>
        <w:jc w:val="left"/>
        <w:rPr>
          <w:rFonts w:ascii="仿宋_GB2312" w:eastAsia="仿宋_GB2312" w:cs="仿宋_GB2312"/>
          <w:b/>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2020年度政府性基金预算财政拨款本年支出 0万元。</w:t>
      </w:r>
    </w:p>
    <w:p>
      <w:pPr>
        <w:numPr>
          <w:ilvl w:val="0"/>
          <w:numId w:val="3"/>
        </w:numPr>
        <w:autoSpaceDE w:val="0"/>
        <w:autoSpaceDN w:val="0"/>
        <w:adjustRightInd w:val="0"/>
        <w:spacing w:line="580" w:lineRule="exact"/>
        <w:jc w:val="left"/>
        <w:rPr>
          <w:rFonts w:ascii="仿宋_GB2312" w:eastAsia="仿宋_GB2312" w:cs="仿宋_GB2312"/>
          <w:b/>
          <w:kern w:val="0"/>
          <w:sz w:val="32"/>
          <w:szCs w:val="32"/>
        </w:rPr>
      </w:pPr>
      <w:r>
        <w:rPr>
          <w:rFonts w:hint="eastAsia" w:ascii="仿宋_GB2312" w:eastAsia="仿宋_GB2312" w:cs="仿宋_GB2312"/>
          <w:b/>
          <w:kern w:val="0"/>
          <w:sz w:val="32"/>
          <w:szCs w:val="32"/>
        </w:rPr>
        <w:t>2020年度国有资本经营预算财政拨款支出情况说明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 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hint="eastAsia" w:ascii="仿宋_GB2312" w:eastAsia="仿宋_GB2312" w:cs="仿宋_GB2312"/>
          <w:b/>
          <w:kern w:val="0"/>
          <w:sz w:val="32"/>
          <w:szCs w:val="32"/>
        </w:rPr>
        <w:t>2020 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从2020年起我市各县（区）检察院作为柳州市人民检察院二级预算单位纳入柳州市财政局统一管理，因是首次纳入市级预算管理，相关工作尚待理顺，2020年各县（区）检察院未开展绩效考评工作。</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（一）机关运行经费支出情况。2020年度机关运行经费支出108.45万元，比 2019年增加 17.43万元，增长19.15 %，增（减）原因办案业务增加。</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（二）政府采购支出情况。2020年度政府采购支出总额85.8万元，其中：货物支出0万元、工程支出0万元、服务支出85.8万元。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（三）国有资产占用情况。截至年末单位共有车辆5辆，其中：公务用车3 辆；执法执勤用车2辆；专业技术用车0辆；单价50万元 以上通用设备0台（套），单价100 万元以上专用设备0台（套）。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ingLiU">
    <w:altName w:val="QIJIFALLBACK"/>
    <w:panose1 w:val="02020509000000000000"/>
    <w:charset w:val="88"/>
    <w:family w:val="modern"/>
    <w:pitch w:val="default"/>
    <w:sig w:usb0="00000000" w:usb1="00000000" w:usb2="00000016" w:usb3="00000000" w:csb0="00100001" w:csb1="00000000"/>
  </w:font>
  <w:font w:name="QIJIFALLBACK">
    <w:panose1 w:val="02000509000000000000"/>
    <w:charset w:val="88"/>
    <w:family w:val="auto"/>
    <w:pitch w:val="default"/>
    <w:sig w:usb0="00000000" w:usb1="08000000" w:usb2="00000000" w:usb3="00000000" w:csb0="001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- 23 -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7F0EC"/>
    <w:multiLevelType w:val="singleLevel"/>
    <w:tmpl w:val="07B7F0EC"/>
    <w:lvl w:ilvl="0" w:tentative="0">
      <w:start w:val="9"/>
      <w:numFmt w:val="chineseCounting"/>
      <w:suff w:val="nothing"/>
      <w:lvlText w:val="%1、"/>
      <w:lvlJc w:val="left"/>
      <w:rPr>
        <w:rFonts w:hint="eastAsia"/>
      </w:rPr>
    </w:lvl>
  </w:abstractNum>
  <w:abstractNum w:abstractNumId="1">
    <w:nsid w:val="158B3B6F"/>
    <w:multiLevelType w:val="multilevel"/>
    <w:tmpl w:val="158B3B6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1387DC0"/>
    <w:multiLevelType w:val="multilevel"/>
    <w:tmpl w:val="31387DC0"/>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hjNDNkODRjZTUyODY5NDBlZDQxOWMwN2RjODhiODIifQ=="/>
  </w:docVars>
  <w:rsids>
    <w:rsidRoot w:val="4C256E3D"/>
    <w:rsid w:val="000077CA"/>
    <w:rsid w:val="00066CA3"/>
    <w:rsid w:val="000B1E83"/>
    <w:rsid w:val="000B3744"/>
    <w:rsid w:val="001F4DD2"/>
    <w:rsid w:val="002173B2"/>
    <w:rsid w:val="00257DBA"/>
    <w:rsid w:val="0026628B"/>
    <w:rsid w:val="002824BB"/>
    <w:rsid w:val="002C353E"/>
    <w:rsid w:val="002F03F5"/>
    <w:rsid w:val="002F4C9D"/>
    <w:rsid w:val="00353B22"/>
    <w:rsid w:val="00381462"/>
    <w:rsid w:val="00396A52"/>
    <w:rsid w:val="003A399A"/>
    <w:rsid w:val="003B1455"/>
    <w:rsid w:val="003D73BA"/>
    <w:rsid w:val="0040761D"/>
    <w:rsid w:val="0041154B"/>
    <w:rsid w:val="00423FC1"/>
    <w:rsid w:val="0047570B"/>
    <w:rsid w:val="004A77A6"/>
    <w:rsid w:val="004E59E3"/>
    <w:rsid w:val="00534FEC"/>
    <w:rsid w:val="00565709"/>
    <w:rsid w:val="005E2B82"/>
    <w:rsid w:val="005F28F6"/>
    <w:rsid w:val="00600293"/>
    <w:rsid w:val="0064009B"/>
    <w:rsid w:val="006B14C4"/>
    <w:rsid w:val="006B42CC"/>
    <w:rsid w:val="006C1367"/>
    <w:rsid w:val="0070353D"/>
    <w:rsid w:val="00715385"/>
    <w:rsid w:val="007525FC"/>
    <w:rsid w:val="0075754B"/>
    <w:rsid w:val="007851EC"/>
    <w:rsid w:val="007E1A44"/>
    <w:rsid w:val="00803FC2"/>
    <w:rsid w:val="008A274F"/>
    <w:rsid w:val="008C4491"/>
    <w:rsid w:val="00920EEF"/>
    <w:rsid w:val="009B5F16"/>
    <w:rsid w:val="009E0316"/>
    <w:rsid w:val="00A316EA"/>
    <w:rsid w:val="00A31F47"/>
    <w:rsid w:val="00A57677"/>
    <w:rsid w:val="00AA0C9E"/>
    <w:rsid w:val="00AC0A88"/>
    <w:rsid w:val="00AC0B43"/>
    <w:rsid w:val="00B16687"/>
    <w:rsid w:val="00B559F6"/>
    <w:rsid w:val="00B6548E"/>
    <w:rsid w:val="00B67847"/>
    <w:rsid w:val="00B95811"/>
    <w:rsid w:val="00BF1B34"/>
    <w:rsid w:val="00C20FBC"/>
    <w:rsid w:val="00C240FF"/>
    <w:rsid w:val="00C41C79"/>
    <w:rsid w:val="00C91BD3"/>
    <w:rsid w:val="00D10660"/>
    <w:rsid w:val="00D16DAC"/>
    <w:rsid w:val="00D25F04"/>
    <w:rsid w:val="00D41C9F"/>
    <w:rsid w:val="00D43D65"/>
    <w:rsid w:val="00E368C0"/>
    <w:rsid w:val="00ED04E6"/>
    <w:rsid w:val="00EF107F"/>
    <w:rsid w:val="00EF54AA"/>
    <w:rsid w:val="00F57E03"/>
    <w:rsid w:val="00F66C5B"/>
    <w:rsid w:val="00FD4CEA"/>
    <w:rsid w:val="0E074DDF"/>
    <w:rsid w:val="124204B5"/>
    <w:rsid w:val="13F80356"/>
    <w:rsid w:val="182962AB"/>
    <w:rsid w:val="18B828C6"/>
    <w:rsid w:val="18BE612E"/>
    <w:rsid w:val="19D073EB"/>
    <w:rsid w:val="1B065B6B"/>
    <w:rsid w:val="1CC31F67"/>
    <w:rsid w:val="1DDF7C04"/>
    <w:rsid w:val="1EF87EC0"/>
    <w:rsid w:val="20DA5ADA"/>
    <w:rsid w:val="24D337DC"/>
    <w:rsid w:val="25115838"/>
    <w:rsid w:val="26460DBA"/>
    <w:rsid w:val="26760048"/>
    <w:rsid w:val="2A710421"/>
    <w:rsid w:val="2B6F74EB"/>
    <w:rsid w:val="2C4219FE"/>
    <w:rsid w:val="34020F86"/>
    <w:rsid w:val="355C48AD"/>
    <w:rsid w:val="35C661CB"/>
    <w:rsid w:val="38194CD8"/>
    <w:rsid w:val="39A63F06"/>
    <w:rsid w:val="3C853325"/>
    <w:rsid w:val="3ED1439F"/>
    <w:rsid w:val="4769708F"/>
    <w:rsid w:val="47C702AC"/>
    <w:rsid w:val="48374EDC"/>
    <w:rsid w:val="4B1C090F"/>
    <w:rsid w:val="4C256E3D"/>
    <w:rsid w:val="4CB52F0F"/>
    <w:rsid w:val="4F5F526E"/>
    <w:rsid w:val="4FB235F0"/>
    <w:rsid w:val="532F1F9A"/>
    <w:rsid w:val="5579695E"/>
    <w:rsid w:val="578E4942"/>
    <w:rsid w:val="5E995A3E"/>
    <w:rsid w:val="5F772160"/>
    <w:rsid w:val="62163194"/>
    <w:rsid w:val="624D024D"/>
    <w:rsid w:val="650E086A"/>
    <w:rsid w:val="664803B2"/>
    <w:rsid w:val="68120C78"/>
    <w:rsid w:val="6BAA0708"/>
    <w:rsid w:val="70595AC5"/>
    <w:rsid w:val="717B0ABD"/>
    <w:rsid w:val="75DC0B17"/>
    <w:rsid w:val="75E63101"/>
    <w:rsid w:val="78C0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FEE732-C1EF-445E-A084-1BC0584B070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9068</Words>
  <Characters>11689</Characters>
  <Lines>39</Lines>
  <Paragraphs>27</Paragraphs>
  <TotalTime>1241</TotalTime>
  <ScaleCrop>false</ScaleCrop>
  <LinksUpToDate>false</LinksUpToDate>
  <CharactersWithSpaces>12275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2022-10-31T10:00:43Z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5CD112BA8CD54DEC9B7ACB5FA4C57E4D</vt:lpwstr>
  </property>
</Properties>
</file>