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color w:val="auto"/>
          <w:kern w:val="0"/>
          <w:sz w:val="32"/>
          <w:szCs w:val="32"/>
        </w:rPr>
      </w:pPr>
      <w:bookmarkStart w:id="0" w:name="_GoBack"/>
      <w:bookmarkEnd w:id="0"/>
    </w:p>
    <w:p>
      <w:pPr>
        <w:rPr>
          <w:rFonts w:hint="eastAsia" w:ascii="黑体" w:eastAsia="黑体" w:cs="ArialUnicodeMS"/>
          <w:color w:val="auto"/>
          <w:kern w:val="0"/>
          <w:sz w:val="72"/>
          <w:szCs w:val="72"/>
        </w:rPr>
      </w:pPr>
    </w:p>
    <w:p>
      <w:pPr>
        <w:rPr>
          <w:rFonts w:hint="eastAsia" w:ascii="黑体" w:eastAsia="黑体" w:cs="ArialUnicodeMS"/>
          <w:color w:val="auto"/>
          <w:kern w:val="0"/>
          <w:sz w:val="72"/>
          <w:szCs w:val="72"/>
        </w:rPr>
      </w:pPr>
    </w:p>
    <w:p>
      <w:pPr>
        <w:jc w:val="center"/>
        <w:rPr>
          <w:rFonts w:hint="eastAsia" w:ascii="黑体" w:hAnsi="黑体" w:eastAsia="黑体"/>
          <w:bCs/>
          <w:color w:val="auto"/>
          <w:sz w:val="52"/>
          <w:szCs w:val="52"/>
          <w:u w:val="none"/>
          <w:lang w:eastAsia="zh-CN"/>
        </w:rPr>
      </w:pPr>
      <w:r>
        <w:rPr>
          <w:rFonts w:hint="eastAsia" w:ascii="黑体" w:eastAsia="黑体" w:cs="ArialUnicodeMS"/>
          <w:color w:val="auto"/>
          <w:kern w:val="0"/>
          <w:sz w:val="52"/>
          <w:szCs w:val="52"/>
          <w:lang w:eastAsia="zh-CN"/>
        </w:rPr>
        <w:t>柳州市</w:t>
      </w:r>
      <w:r>
        <w:rPr>
          <w:rFonts w:hint="eastAsia" w:ascii="黑体" w:hAnsi="黑体" w:eastAsia="黑体"/>
          <w:bCs/>
          <w:color w:val="auto"/>
          <w:sz w:val="52"/>
          <w:szCs w:val="52"/>
          <w:u w:val="none"/>
          <w:lang w:eastAsia="zh-CN"/>
        </w:rPr>
        <w:t>残疾人联合会</w:t>
      </w:r>
    </w:p>
    <w:p>
      <w:pPr>
        <w:jc w:val="center"/>
        <w:rPr>
          <w:rFonts w:hint="eastAsia" w:ascii="黑体" w:eastAsia="黑体" w:cs="ArialUnicodeMS"/>
          <w:color w:val="auto"/>
          <w:kern w:val="0"/>
          <w:sz w:val="52"/>
          <w:szCs w:val="52"/>
        </w:rPr>
      </w:pPr>
      <w:r>
        <w:rPr>
          <w:rFonts w:hint="eastAsia" w:ascii="黑体" w:eastAsia="黑体"/>
          <w:color w:val="auto"/>
          <w:kern w:val="0"/>
          <w:sz w:val="52"/>
          <w:szCs w:val="52"/>
          <w:lang w:val="en-US" w:eastAsia="zh-CN"/>
        </w:rPr>
        <w:t>2021</w:t>
      </w:r>
      <w:r>
        <w:rPr>
          <w:rFonts w:hint="eastAsia" w:ascii="黑体" w:eastAsia="黑体" w:cs="ArialUnicodeMS"/>
          <w:color w:val="auto"/>
          <w:kern w:val="0"/>
          <w:sz w:val="52"/>
          <w:szCs w:val="52"/>
        </w:rPr>
        <w:t>年</w:t>
      </w:r>
      <w:r>
        <w:rPr>
          <w:rFonts w:hint="eastAsia" w:ascii="黑体" w:eastAsia="黑体" w:cs="ArialUnicodeMS"/>
          <w:color w:val="auto"/>
          <w:kern w:val="0"/>
          <w:sz w:val="52"/>
          <w:szCs w:val="52"/>
          <w:lang w:eastAsia="zh-CN"/>
        </w:rPr>
        <w:t>度</w:t>
      </w:r>
      <w:r>
        <w:rPr>
          <w:rFonts w:hint="eastAsia" w:ascii="黑体" w:eastAsia="黑体" w:cs="ArialUnicodeMS"/>
          <w:color w:val="auto"/>
          <w:kern w:val="0"/>
          <w:sz w:val="52"/>
          <w:szCs w:val="52"/>
        </w:rPr>
        <w:t>部门决算</w:t>
      </w: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lang w:eastAsia="zh-CN"/>
        </w:rPr>
      </w:pPr>
    </w:p>
    <w:p>
      <w:pPr>
        <w:rPr>
          <w:rFonts w:hint="eastAsia" w:ascii="ArialUnicodeMS" w:eastAsia="ArialUnicodeMS" w:cs="ArialUnicodeMS"/>
          <w:color w:val="auto"/>
          <w:kern w:val="0"/>
          <w:sz w:val="84"/>
          <w:szCs w:val="84"/>
          <w:lang w:eastAsia="zh-CN"/>
        </w:rPr>
      </w:pPr>
    </w:p>
    <w:p>
      <w:pPr>
        <w:rPr>
          <w:rFonts w:hint="eastAsia" w:ascii="ArialUnicodeMS" w:eastAsia="ArialUnicodeMS" w:cs="ArialUnicodeMS"/>
          <w:color w:val="auto"/>
          <w:kern w:val="0"/>
          <w:sz w:val="84"/>
          <w:szCs w:val="84"/>
          <w:lang w:eastAsia="zh-CN"/>
        </w:rPr>
      </w:pP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rPr>
      </w:pPr>
    </w:p>
    <w:p>
      <w:pPr>
        <w:rPr>
          <w:rFonts w:hint="eastAsia" w:ascii="ArialUnicodeMS" w:eastAsia="ArialUnicodeMS" w:cs="ArialUnicodeMS"/>
          <w:color w:val="auto"/>
          <w:kern w:val="0"/>
          <w:sz w:val="84"/>
          <w:szCs w:val="84"/>
        </w:rPr>
      </w:pPr>
    </w:p>
    <w:p>
      <w:pPr>
        <w:jc w:val="center"/>
        <w:rPr>
          <w:rFonts w:hint="eastAsia" w:ascii="黑体" w:eastAsia="黑体" w:cs="黑体"/>
          <w:color w:val="auto"/>
          <w:kern w:val="0"/>
          <w:sz w:val="44"/>
          <w:szCs w:val="44"/>
        </w:rPr>
      </w:pPr>
    </w:p>
    <w:p>
      <w:pPr>
        <w:ind w:firstLine="646"/>
        <w:jc w:val="center"/>
        <w:rPr>
          <w:rFonts w:hint="eastAsia"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hint="eastAsia" w:ascii="仿宋_GB2312" w:eastAsia="仿宋_GB2312"/>
          <w:b/>
          <w:color w:val="auto"/>
          <w:sz w:val="32"/>
          <w:szCs w:val="32"/>
        </w:rPr>
      </w:pPr>
    </w:p>
    <w:p>
      <w:pPr>
        <w:ind w:firstLine="645"/>
        <w:rPr>
          <w:rFonts w:hint="eastAsia"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rPr>
        <w:t>柳州市残疾人联合会</w:t>
      </w:r>
      <w:r>
        <w:rPr>
          <w:rFonts w:hint="eastAsia" w:ascii="仿宋_GB2312" w:eastAsia="仿宋_GB2312"/>
          <w:b/>
          <w:color w:val="auto"/>
          <w:sz w:val="32"/>
          <w:szCs w:val="32"/>
        </w:rPr>
        <w:t>概况</w:t>
      </w:r>
    </w:p>
    <w:p>
      <w:pPr>
        <w:ind w:firstLine="645"/>
        <w:rPr>
          <w:rFonts w:hint="eastAsia" w:ascii="仿宋_GB2312" w:eastAsia="仿宋_GB2312"/>
          <w:color w:val="auto"/>
          <w:sz w:val="32"/>
          <w:szCs w:val="32"/>
        </w:rPr>
      </w:pPr>
      <w:r>
        <w:rPr>
          <w:rFonts w:hint="eastAsia" w:ascii="仿宋_GB2312" w:eastAsia="仿宋_GB2312"/>
          <w:color w:val="auto"/>
          <w:sz w:val="32"/>
          <w:szCs w:val="32"/>
        </w:rPr>
        <w:t>一、主要职能</w:t>
      </w:r>
    </w:p>
    <w:p>
      <w:pPr>
        <w:ind w:firstLine="645"/>
        <w:rPr>
          <w:rFonts w:hint="eastAsia" w:ascii="仿宋_GB2312" w:eastAsia="仿宋_GB2312"/>
          <w:color w:val="auto"/>
          <w:sz w:val="32"/>
          <w:szCs w:val="32"/>
        </w:rPr>
      </w:pPr>
      <w:r>
        <w:rPr>
          <w:rFonts w:hint="eastAsia" w:ascii="仿宋_GB2312" w:eastAsia="仿宋_GB2312"/>
          <w:color w:val="auto"/>
          <w:sz w:val="32"/>
          <w:szCs w:val="32"/>
        </w:rPr>
        <w:t>二、部门决算单位构成</w:t>
      </w:r>
    </w:p>
    <w:p>
      <w:pPr>
        <w:ind w:firstLine="645"/>
        <w:rPr>
          <w:rFonts w:hint="eastAsia"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rPr>
        <w:t>柳州市残疾人联合会</w:t>
      </w:r>
      <w:r>
        <w:rPr>
          <w:rFonts w:hint="eastAsia" w:ascii="仿宋_GB2312" w:hAnsi="黑体" w:eastAsia="仿宋_GB2312"/>
          <w:b/>
          <w:bCs/>
          <w:color w:val="auto"/>
          <w:sz w:val="32"/>
          <w:szCs w:val="32"/>
          <w:lang w:val="en-US" w:eastAsia="zh-CN"/>
        </w:rPr>
        <w:t>2021</w:t>
      </w:r>
      <w:r>
        <w:rPr>
          <w:rFonts w:hint="eastAsia" w:ascii="仿宋_GB2312" w:eastAsia="仿宋_GB2312"/>
          <w:b/>
          <w:color w:val="auto"/>
          <w:sz w:val="32"/>
          <w:szCs w:val="32"/>
        </w:rPr>
        <w:t>年部门决算报表</w:t>
      </w:r>
    </w:p>
    <w:p>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sz w:val="32"/>
          <w:szCs w:val="32"/>
        </w:rPr>
      </w:pPr>
      <w:r>
        <w:rPr>
          <w:rFonts w:hint="eastAsia" w:ascii="仿宋_GB2312" w:eastAsia="仿宋_GB2312"/>
          <w:color w:val="auto"/>
          <w:sz w:val="32"/>
          <w:szCs w:val="32"/>
        </w:rPr>
        <w:t>表七：一般公共预算财政拨款安排的“</w:t>
      </w:r>
      <w:r>
        <w:rPr>
          <w:rFonts w:ascii="仿宋_GB2312" w:eastAsia="仿宋_GB2312"/>
          <w:color w:val="auto"/>
          <w:sz w:val="32"/>
          <w:szCs w:val="32"/>
        </w:rPr>
        <w:t>三公</w:t>
      </w:r>
      <w:r>
        <w:rPr>
          <w:rFonts w:hint="eastAsia" w:ascii="仿宋_GB2312" w:eastAsia="仿宋_GB2312"/>
          <w:color w:val="auto"/>
          <w:sz w:val="32"/>
          <w:szCs w:val="32"/>
        </w:rPr>
        <w:t>”</w:t>
      </w:r>
      <w:r>
        <w:rPr>
          <w:rFonts w:ascii="仿宋_GB2312" w:eastAsia="仿宋_GB2312"/>
          <w:color w:val="auto"/>
          <w:sz w:val="32"/>
          <w:szCs w:val="32"/>
        </w:rPr>
        <w:t>经费</w:t>
      </w:r>
      <w:r>
        <w:rPr>
          <w:rFonts w:hint="eastAsia" w:ascii="仿宋_GB2312" w:eastAsia="仿宋_GB2312"/>
          <w:color w:val="auto"/>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表九：国有资本经营预算财政拨款支出决算表</w:t>
      </w:r>
    </w:p>
    <w:p>
      <w:pPr>
        <w:ind w:firstLine="645"/>
        <w:rPr>
          <w:rFonts w:hint="eastAsia"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rPr>
        <w:t>柳州市残疾人联合会</w:t>
      </w:r>
      <w:r>
        <w:rPr>
          <w:rFonts w:hint="eastAsia" w:ascii="仿宋_GB2312" w:eastAsia="仿宋_GB2312"/>
          <w:b/>
          <w:color w:val="auto"/>
          <w:sz w:val="32"/>
          <w:szCs w:val="32"/>
          <w:lang w:val="en-US" w:eastAsia="zh-CN"/>
        </w:rPr>
        <w:t>2020</w:t>
      </w:r>
      <w:r>
        <w:rPr>
          <w:rFonts w:hint="eastAsia" w:ascii="仿宋_GB2312" w:eastAsia="仿宋_GB2312"/>
          <w:b/>
          <w:color w:val="auto"/>
          <w:sz w:val="32"/>
          <w:szCs w:val="32"/>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ind w:firstLine="645"/>
        <w:rPr>
          <w:rFonts w:hint="eastAsia" w:ascii="仿宋_GB2312" w:eastAsia="仿宋_GB2312"/>
          <w:b/>
          <w:color w:val="auto"/>
          <w:sz w:val="32"/>
          <w:szCs w:val="32"/>
          <w:lang w:eastAsia="zh-CN"/>
        </w:rPr>
      </w:pPr>
      <w:r>
        <w:rPr>
          <w:rFonts w:hint="eastAsia" w:ascii="仿宋_GB2312" w:eastAsia="仿宋_GB2312"/>
          <w:b/>
          <w:color w:val="auto"/>
          <w:sz w:val="32"/>
          <w:szCs w:val="32"/>
        </w:rPr>
        <w:t>第</w:t>
      </w:r>
      <w:r>
        <w:rPr>
          <w:rFonts w:hint="eastAsia" w:ascii="仿宋_GB2312" w:eastAsia="仿宋_GB2312"/>
          <w:b/>
          <w:color w:val="auto"/>
          <w:sz w:val="32"/>
          <w:szCs w:val="32"/>
          <w:lang w:eastAsia="zh-CN"/>
        </w:rPr>
        <w:t>四</w:t>
      </w:r>
      <w:r>
        <w:rPr>
          <w:rFonts w:hint="eastAsia" w:ascii="仿宋_GB2312" w:eastAsia="仿宋_GB2312"/>
          <w:b/>
          <w:color w:val="auto"/>
          <w:sz w:val="32"/>
          <w:szCs w:val="32"/>
        </w:rPr>
        <w:t>部分：</w:t>
      </w:r>
      <w:r>
        <w:rPr>
          <w:rFonts w:hint="eastAsia" w:ascii="仿宋_GB2312" w:eastAsia="仿宋_GB2312"/>
          <w:b/>
          <w:color w:val="auto"/>
          <w:sz w:val="32"/>
          <w:szCs w:val="32"/>
          <w:lang w:eastAsia="zh-CN"/>
        </w:rPr>
        <w:t>名词解释</w:t>
      </w:r>
    </w:p>
    <w:p>
      <w:pPr>
        <w:ind w:firstLine="646"/>
        <w:jc w:val="center"/>
        <w:rPr>
          <w:rFonts w:ascii="仿宋_GB2312" w:eastAsia="仿宋_GB2312"/>
          <w:b/>
          <w:color w:val="auto"/>
          <w:sz w:val="32"/>
          <w:szCs w:val="32"/>
        </w:rPr>
      </w:pPr>
      <w:r>
        <w:rPr>
          <w:rFonts w:hint="eastAsia" w:ascii="仿宋_GB2312" w:eastAsia="仿宋_GB2312" w:cs="仿宋_GB2312"/>
          <w:b w:val="0"/>
          <w:bCs/>
          <w:color w:val="auto"/>
          <w:kern w:val="0"/>
          <w:sz w:val="32"/>
          <w:szCs w:val="32"/>
        </w:rPr>
        <w:br w:type="page"/>
      </w:r>
      <w:r>
        <w:rPr>
          <w:rFonts w:hint="eastAsia" w:ascii="仿宋_GB2312" w:eastAsia="仿宋_GB2312"/>
          <w:b/>
          <w:color w:val="auto"/>
          <w:sz w:val="32"/>
          <w:szCs w:val="32"/>
        </w:rPr>
        <w:t>第一部分：</w:t>
      </w:r>
      <w:r>
        <w:rPr>
          <w:rFonts w:hint="eastAsia" w:ascii="仿宋_GB2312" w:hAnsi="黑体" w:eastAsia="仿宋_GB2312"/>
          <w:b/>
          <w:bCs/>
          <w:color w:val="auto"/>
          <w:sz w:val="32"/>
          <w:szCs w:val="32"/>
        </w:rPr>
        <w:t>柳州市残疾人联合会</w:t>
      </w:r>
      <w:r>
        <w:rPr>
          <w:rFonts w:hint="eastAsia" w:ascii="仿宋_GB2312" w:eastAsia="仿宋_GB2312"/>
          <w:b/>
          <w:color w:val="auto"/>
          <w:sz w:val="32"/>
          <w:szCs w:val="32"/>
        </w:rPr>
        <w:t>概况</w:t>
      </w:r>
    </w:p>
    <w:p>
      <w:pPr>
        <w:ind w:firstLine="646"/>
        <w:rPr>
          <w:rFonts w:hint="eastAsia" w:ascii="仿宋_GB2312" w:eastAsia="仿宋_GB2312"/>
          <w:color w:val="auto"/>
          <w:sz w:val="32"/>
          <w:szCs w:val="32"/>
        </w:rPr>
      </w:pPr>
      <w:r>
        <w:rPr>
          <w:rFonts w:hint="eastAsia" w:ascii="仿宋_GB2312" w:eastAsia="仿宋_GB2312"/>
          <w:color w:val="auto"/>
          <w:sz w:val="32"/>
          <w:szCs w:val="32"/>
        </w:rPr>
        <w:t>一、主要职能</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(一)宣传贯彻《中华人民共和国残疾人保障法》，维护残疾人权益，听取残疾人意见，反映残疾人需求，全心全意为残疾人服务。</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(二)团结、教育残疾人遵守法律，履行应尽的义务，发扬乐观进取精神，自尊、自信、自强、自立，为社会主义建设贡献力量。</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(三)沟通政府、社会与残疾人之间的联系，宣传残疾人事业，动员社会理解、尊重、关心、帮助残疾人。</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(四)开展和促进残疾人康复、教育、劳动就业、扶贫、维权、文化体育、社会保障和残疾预防等工作，改善残疾人参与社会生活的环境和条件。</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(五)参与研究、制订和实施残疾人事业的法律、法规、政策、规划和计划，发挥综合、协调、咨询、服务作用，对有关领域的工作进行管理和指导。</w:t>
      </w:r>
    </w:p>
    <w:p>
      <w:pPr>
        <w:spacing w:line="500" w:lineRule="exact"/>
        <w:ind w:firstLine="645"/>
        <w:rPr>
          <w:rFonts w:ascii="仿宋_GB2312" w:eastAsia="仿宋_GB2312"/>
          <w:color w:val="auto"/>
          <w:sz w:val="32"/>
          <w:szCs w:val="32"/>
        </w:rPr>
      </w:pPr>
      <w:r>
        <w:rPr>
          <w:rFonts w:hint="eastAsia" w:ascii="仿宋_GB2312" w:eastAsia="仿宋_GB2312"/>
          <w:color w:val="auto"/>
          <w:sz w:val="32"/>
          <w:szCs w:val="32"/>
        </w:rPr>
        <w:t>(六)管理和指导各类残疾人群众组织，培养残疾人工作者，使残疾人在残疾人组织中更加活跃，残疾人组织在基层更加活跃，残疾人和残疾人组织在社会上更加活跃。</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(七)承担市人民政府及残疾人工作委员会的日常工作。</w:t>
      </w:r>
    </w:p>
    <w:p>
      <w:pPr>
        <w:ind w:firstLine="646"/>
        <w:rPr>
          <w:rFonts w:hint="eastAsia" w:ascii="仿宋_GB2312" w:eastAsia="仿宋_GB2312"/>
          <w:color w:val="auto"/>
          <w:sz w:val="32"/>
          <w:szCs w:val="32"/>
        </w:rPr>
      </w:pPr>
      <w:r>
        <w:rPr>
          <w:rFonts w:hint="eastAsia" w:ascii="仿宋_GB2312" w:eastAsia="仿宋_GB2312"/>
          <w:color w:val="auto"/>
          <w:sz w:val="32"/>
          <w:szCs w:val="32"/>
        </w:rPr>
        <w:t>二、部门决算单位构成</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柳州市残疾人联合会（本级）为参公事业单位，下属两个单位分别为柳州市残疾人劳动就业服务中心（差额拨款事业单位）和柳州市残疾人康复中心（全额拨款事业单位）。</w:t>
      </w:r>
    </w:p>
    <w:p>
      <w:pPr>
        <w:ind w:firstLine="645"/>
        <w:rPr>
          <w:rFonts w:hint="eastAsia" w:ascii="仿宋_GB2312" w:eastAsia="仿宋_GB2312"/>
          <w:color w:val="auto"/>
          <w:sz w:val="32"/>
          <w:szCs w:val="32"/>
        </w:rPr>
      </w:pPr>
    </w:p>
    <w:p>
      <w:pPr>
        <w:jc w:val="center"/>
        <w:rPr>
          <w:rFonts w:hint="eastAsia" w:ascii="仿宋_GB2312" w:eastAsia="仿宋_GB2312"/>
          <w:b/>
          <w:color w:val="auto"/>
          <w:sz w:val="32"/>
          <w:szCs w:val="32"/>
        </w:rPr>
      </w:pPr>
    </w:p>
    <w:p>
      <w:pPr>
        <w:jc w:val="left"/>
        <w:rPr>
          <w:rFonts w:hint="eastAsia" w:ascii="仿宋_GB2312" w:eastAsia="仿宋_GB2312"/>
          <w:b/>
          <w:color w:val="auto"/>
          <w:sz w:val="32"/>
          <w:szCs w:val="32"/>
        </w:rPr>
      </w:pPr>
    </w:p>
    <w:p>
      <w:pPr>
        <w:jc w:val="left"/>
        <w:rPr>
          <w:rFonts w:hint="eastAsia" w:ascii="仿宋_GB2312" w:eastAsia="仿宋_GB2312"/>
          <w:b/>
          <w:color w:val="auto"/>
          <w:sz w:val="32"/>
          <w:szCs w:val="32"/>
        </w:rPr>
      </w:pPr>
    </w:p>
    <w:p>
      <w:pPr>
        <w:jc w:val="left"/>
        <w:rPr>
          <w:rFonts w:hint="eastAsia" w:ascii="仿宋_GB2312" w:eastAsia="仿宋_GB2312"/>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rPr>
        <w:t>柳州市残疾人联合会</w:t>
      </w:r>
      <w:r>
        <w:rPr>
          <w:rFonts w:hint="eastAsia" w:ascii="仿宋_GB2312" w:eastAsia="仿宋_GB2312"/>
          <w:b/>
          <w:color w:val="auto"/>
          <w:sz w:val="32"/>
          <w:szCs w:val="32"/>
          <w:lang w:val="en-US" w:eastAsia="zh-CN"/>
        </w:rPr>
        <w:t>2021</w:t>
      </w:r>
      <w:r>
        <w:rPr>
          <w:rFonts w:hint="eastAsia" w:ascii="仿宋_GB2312" w:eastAsia="仿宋_GB2312"/>
          <w:b/>
          <w:color w:val="auto"/>
          <w:sz w:val="32"/>
          <w:szCs w:val="32"/>
        </w:rPr>
        <w:t>年部门决算报表</w:t>
      </w:r>
    </w:p>
    <w:tbl>
      <w:tblPr>
        <w:tblStyle w:val="4"/>
        <w:tblpPr w:leftFromText="180" w:rightFromText="180" w:vertAnchor="text" w:horzAnchor="page" w:tblpXSpec="center" w:tblpY="366"/>
        <w:tblOverlap w:val="never"/>
        <w:tblW w:w="10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0"/>
        <w:gridCol w:w="811"/>
        <w:gridCol w:w="1061"/>
        <w:gridCol w:w="3018"/>
        <w:gridCol w:w="10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0075" w:type="dxa"/>
            <w:gridSpan w:val="6"/>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表一：</w:t>
            </w: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120"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811" w:type="dxa"/>
            <w:tcBorders>
              <w:top w:val="nil"/>
              <w:left w:val="nil"/>
              <w:bottom w:val="nil"/>
              <w:right w:val="nil"/>
            </w:tcBorders>
            <w:shd w:val="clear" w:color="auto" w:fill="auto"/>
            <w:noWrap/>
            <w:vAlign w:val="bottom"/>
          </w:tcPr>
          <w:p>
            <w:pPr>
              <w:spacing w:line="360" w:lineRule="auto"/>
              <w:rPr>
                <w:color w:val="auto"/>
                <w:sz w:val="24"/>
                <w:szCs w:val="24"/>
              </w:rPr>
            </w:pPr>
          </w:p>
        </w:tc>
        <w:tc>
          <w:tcPr>
            <w:tcW w:w="1061" w:type="dxa"/>
            <w:tcBorders>
              <w:top w:val="nil"/>
              <w:left w:val="nil"/>
              <w:bottom w:val="nil"/>
              <w:right w:val="nil"/>
            </w:tcBorders>
            <w:shd w:val="clear" w:color="auto" w:fill="auto"/>
            <w:noWrap/>
            <w:vAlign w:val="bottom"/>
          </w:tcPr>
          <w:p>
            <w:pPr>
              <w:spacing w:line="360" w:lineRule="auto"/>
              <w:rPr>
                <w:color w:val="auto"/>
                <w:sz w:val="24"/>
                <w:szCs w:val="24"/>
              </w:rPr>
            </w:pPr>
          </w:p>
        </w:tc>
        <w:tc>
          <w:tcPr>
            <w:tcW w:w="5083" w:type="dxa"/>
            <w:gridSpan w:val="3"/>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120"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811" w:type="dxa"/>
            <w:tcBorders>
              <w:top w:val="nil"/>
              <w:left w:val="nil"/>
              <w:bottom w:val="nil"/>
              <w:right w:val="nil"/>
            </w:tcBorders>
            <w:shd w:val="clear" w:color="auto" w:fill="auto"/>
            <w:noWrap/>
            <w:vAlign w:val="bottom"/>
          </w:tcPr>
          <w:p>
            <w:pPr>
              <w:spacing w:line="360" w:lineRule="auto"/>
              <w:rPr>
                <w:color w:val="auto"/>
                <w:sz w:val="24"/>
                <w:szCs w:val="24"/>
              </w:rPr>
            </w:pPr>
          </w:p>
        </w:tc>
        <w:tc>
          <w:tcPr>
            <w:tcW w:w="1061" w:type="dxa"/>
            <w:tcBorders>
              <w:top w:val="nil"/>
              <w:left w:val="nil"/>
              <w:bottom w:val="nil"/>
              <w:right w:val="nil"/>
            </w:tcBorders>
            <w:shd w:val="clear" w:color="auto" w:fill="auto"/>
            <w:noWrap/>
            <w:vAlign w:val="bottom"/>
          </w:tcPr>
          <w:p>
            <w:pPr>
              <w:spacing w:line="360" w:lineRule="auto"/>
              <w:rPr>
                <w:color w:val="auto"/>
                <w:sz w:val="24"/>
                <w:szCs w:val="24"/>
              </w:rPr>
            </w:pPr>
          </w:p>
        </w:tc>
        <w:tc>
          <w:tcPr>
            <w:tcW w:w="5083" w:type="dxa"/>
            <w:gridSpan w:val="3"/>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4992"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收入</w:t>
            </w:r>
          </w:p>
        </w:tc>
        <w:tc>
          <w:tcPr>
            <w:tcW w:w="5083"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行次</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金额</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项目</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行次</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center"/>
              <w:rPr>
                <w:color w:val="auto"/>
                <w:sz w:val="24"/>
                <w:szCs w:val="24"/>
              </w:rPr>
            </w:pP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栏次</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center"/>
              <w:rPr>
                <w:color w:val="auto"/>
                <w:sz w:val="24"/>
                <w:szCs w:val="24"/>
              </w:rPr>
            </w:pP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一、一般公共预算财政拨款收入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3,539.33</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一、一般公共服务支出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32</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二、政府性基金预算财政拨款收入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二、外交支出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33</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三、国有资本经营预算财政拨款收入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三、国防支出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34</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四、上级补助收入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四、公共安全支出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五、事业收入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15.89</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五、教育支出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36</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六、经营收入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六、科学技术支出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七、附属单位上缴收入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七、文化旅游体育与传媒支出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38</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八、其他收入</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28.62</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八、社会保障和就业支出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3,932.56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九、卫生健康支出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40</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十、节能环保支出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41</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十一、城乡社区支出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42</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十二、农林水支出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43</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十三、交通运输支出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44</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十四、资源勘探工业信息等支出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45</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十五、商业服务业等支出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46</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十六、金融支出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47</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十七、援助其他地区支出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48</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十八、自然资源海洋气象等支出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十九、住房保障支出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50</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二十、粮油物资储备支出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51</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二十一、国有资本经营预算支出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52</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22</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二十二、灾害防治及应急管理支出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53</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23</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二十三、其他支出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54</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二十四、债务还本支出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55</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25</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二十五、债务付息支出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56</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26</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二十六、抗疫特别国债安排的支出</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57</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本年收入合计</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3,583.83</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本年支出合计</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58</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使用非财政拨款结余</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28</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2.24</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结余分配</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59</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年初结转和结余</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723.48</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年末结转和结余</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60</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right"/>
              <w:rPr>
                <w:color w:val="auto"/>
                <w:sz w:val="24"/>
                <w:szCs w:val="24"/>
              </w:rPr>
            </w:pP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spacing w:line="360" w:lineRule="auto"/>
              <w:jc w:val="left"/>
              <w:rPr>
                <w:color w:val="auto"/>
                <w:sz w:val="24"/>
                <w:szCs w:val="24"/>
              </w:rPr>
            </w:pP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61</w:t>
            </w:r>
          </w:p>
        </w:tc>
        <w:tc>
          <w:tcPr>
            <w:tcW w:w="1061" w:type="dxa"/>
            <w:tcBorders>
              <w:top w:val="nil"/>
              <w:left w:val="nil"/>
              <w:bottom w:val="single" w:color="000000" w:sz="4" w:space="0"/>
              <w:right w:val="single" w:color="000000" w:sz="4" w:space="0"/>
            </w:tcBorders>
            <w:shd w:val="clear" w:color="FFFFFF" w:fill="auto"/>
            <w:noWrap/>
            <w:vAlign w:val="center"/>
          </w:tcPr>
          <w:p>
            <w:pPr>
              <w:spacing w:line="360" w:lineRule="auto"/>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120"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总计</w:t>
            </w:r>
          </w:p>
        </w:tc>
        <w:tc>
          <w:tcPr>
            <w:tcW w:w="81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31</w:t>
            </w:r>
          </w:p>
        </w:tc>
        <w:tc>
          <w:tcPr>
            <w:tcW w:w="1061"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4,309.56</w:t>
            </w:r>
          </w:p>
        </w:tc>
        <w:tc>
          <w:tcPr>
            <w:tcW w:w="3018"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总计</w:t>
            </w:r>
          </w:p>
        </w:tc>
        <w:tc>
          <w:tcPr>
            <w:tcW w:w="1004"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62</w:t>
            </w:r>
          </w:p>
        </w:tc>
        <w:tc>
          <w:tcPr>
            <w:tcW w:w="1061"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4,309.56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10075" w:type="dxa"/>
            <w:gridSpan w:val="6"/>
            <w:tcBorders>
              <w:top w:val="nil"/>
              <w:left w:val="nil"/>
              <w:bottom w:val="nil"/>
              <w:right w:val="nil"/>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10075" w:type="dxa"/>
            <w:gridSpan w:val="6"/>
            <w:tcBorders>
              <w:top w:val="nil"/>
              <w:left w:val="nil"/>
              <w:bottom w:val="nil"/>
              <w:right w:val="nil"/>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2.本套报表金额单位转换时可能存在尾数误差。</w:t>
            </w:r>
          </w:p>
        </w:tc>
      </w:tr>
    </w:tbl>
    <w:p>
      <w:pPr>
        <w:ind w:left="-619" w:leftChars="-295" w:firstLine="619" w:firstLineChars="295"/>
        <w:jc w:val="center"/>
        <w:rPr>
          <w:color w:val="auto"/>
        </w:rPr>
      </w:pPr>
    </w:p>
    <w:p>
      <w:pPr>
        <w:jc w:val="center"/>
        <w:rPr>
          <w:color w:val="auto"/>
        </w:rPr>
      </w:pPr>
    </w:p>
    <w:p>
      <w:pPr>
        <w:jc w:val="left"/>
        <w:rPr>
          <w:rFonts w:hint="eastAsia" w:ascii="仿宋_GB2312" w:eastAsia="仿宋_GB2312"/>
          <w:b/>
          <w:color w:val="auto"/>
          <w:sz w:val="32"/>
          <w:szCs w:val="32"/>
        </w:rPr>
      </w:pPr>
    </w:p>
    <w:p>
      <w:pPr>
        <w:tabs>
          <w:tab w:val="left" w:pos="3142"/>
        </w:tabs>
        <w:bidi w:val="0"/>
        <w:jc w:val="left"/>
        <w:rPr>
          <w:rFonts w:hint="eastAsia"/>
          <w:color w:val="auto"/>
          <w:lang w:val="en-US" w:eastAsia="zh-CN"/>
        </w:rPr>
        <w:sectPr>
          <w:headerReference r:id="rId3" w:type="default"/>
          <w:footerReference r:id="rId4" w:type="default"/>
          <w:pgSz w:w="11906" w:h="16838"/>
          <w:pgMar w:top="1383" w:right="1289" w:bottom="1440" w:left="117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3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
        <w:gridCol w:w="270"/>
        <w:gridCol w:w="655"/>
        <w:gridCol w:w="4365"/>
        <w:gridCol w:w="1515"/>
        <w:gridCol w:w="1260"/>
        <w:gridCol w:w="1320"/>
        <w:gridCol w:w="1410"/>
        <w:gridCol w:w="1185"/>
        <w:gridCol w:w="1377"/>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398" w:type="dxa"/>
            <w:gridSpan w:val="11"/>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表二：</w:t>
            </w:r>
            <w:r>
              <w:rPr>
                <w:rFonts w:hint="eastAsia" w:ascii="宋体" w:hAnsi="宋体" w:eastAsia="宋体" w:cs="宋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69"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270" w:type="dxa"/>
            <w:tcBorders>
              <w:top w:val="nil"/>
              <w:left w:val="nil"/>
              <w:bottom w:val="nil"/>
              <w:right w:val="nil"/>
            </w:tcBorders>
            <w:shd w:val="clear" w:color="auto" w:fill="auto"/>
            <w:noWrap/>
            <w:vAlign w:val="bottom"/>
          </w:tcPr>
          <w:p>
            <w:pPr>
              <w:spacing w:line="360" w:lineRule="auto"/>
              <w:rPr>
                <w:color w:val="auto"/>
                <w:sz w:val="24"/>
                <w:szCs w:val="24"/>
              </w:rPr>
            </w:pPr>
          </w:p>
        </w:tc>
        <w:tc>
          <w:tcPr>
            <w:tcW w:w="655" w:type="dxa"/>
            <w:tcBorders>
              <w:top w:val="nil"/>
              <w:left w:val="nil"/>
              <w:bottom w:val="nil"/>
              <w:right w:val="nil"/>
            </w:tcBorders>
            <w:shd w:val="clear" w:color="auto" w:fill="auto"/>
            <w:noWrap/>
            <w:vAlign w:val="bottom"/>
          </w:tcPr>
          <w:p>
            <w:pPr>
              <w:spacing w:line="360" w:lineRule="auto"/>
              <w:rPr>
                <w:color w:val="auto"/>
                <w:sz w:val="24"/>
                <w:szCs w:val="24"/>
              </w:rPr>
            </w:pPr>
          </w:p>
        </w:tc>
        <w:tc>
          <w:tcPr>
            <w:tcW w:w="436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51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260"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20"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410"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185" w:type="dxa"/>
            <w:tcBorders>
              <w:top w:val="nil"/>
              <w:left w:val="nil"/>
              <w:bottom w:val="nil"/>
              <w:right w:val="nil"/>
            </w:tcBorders>
            <w:shd w:val="clear" w:color="auto" w:fill="auto"/>
            <w:noWrap/>
            <w:vAlign w:val="bottom"/>
          </w:tcPr>
          <w:p>
            <w:pPr>
              <w:spacing w:line="360" w:lineRule="auto"/>
              <w:rPr>
                <w:color w:val="auto"/>
                <w:sz w:val="24"/>
                <w:szCs w:val="24"/>
              </w:rPr>
            </w:pPr>
          </w:p>
        </w:tc>
        <w:tc>
          <w:tcPr>
            <w:tcW w:w="2149" w:type="dxa"/>
            <w:gridSpan w:val="2"/>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559" w:type="dxa"/>
            <w:gridSpan w:val="4"/>
            <w:tcBorders>
              <w:top w:val="nil"/>
              <w:left w:val="nil"/>
              <w:bottom w:val="nil"/>
              <w:right w:val="nil"/>
            </w:tcBorders>
            <w:shd w:val="clear" w:color="auto" w:fill="auto"/>
            <w:noWrap/>
            <w:vAlign w:val="bottom"/>
          </w:tcPr>
          <w:p>
            <w:pPr>
              <w:spacing w:line="360" w:lineRule="auto"/>
              <w:rPr>
                <w:color w:val="auto"/>
                <w:sz w:val="24"/>
                <w:szCs w:val="24"/>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151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260"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20"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410"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3334" w:type="dxa"/>
            <w:gridSpan w:val="3"/>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5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本年收入合计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财政拨款收入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上级补助收入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事业收入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经营收入</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附属单位上缴收入</w:t>
            </w:r>
          </w:p>
        </w:tc>
        <w:tc>
          <w:tcPr>
            <w:tcW w:w="77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功能分类科目编码</w:t>
            </w:r>
          </w:p>
        </w:tc>
        <w:tc>
          <w:tcPr>
            <w:tcW w:w="43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151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color w:val="auto"/>
                <w:sz w:val="24"/>
                <w:szCs w:val="24"/>
              </w:rPr>
            </w:pPr>
          </w:p>
        </w:tc>
        <w:tc>
          <w:tcPr>
            <w:tcW w:w="126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color w:val="auto"/>
                <w:sz w:val="24"/>
                <w:szCs w:val="24"/>
              </w:rPr>
            </w:pPr>
          </w:p>
        </w:tc>
        <w:tc>
          <w:tcPr>
            <w:tcW w:w="1320"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4"/>
                <w:szCs w:val="24"/>
                <w:u w:val="none"/>
              </w:rPr>
            </w:pPr>
          </w:p>
        </w:tc>
        <w:tc>
          <w:tcPr>
            <w:tcW w:w="1410"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color w:val="auto"/>
                <w:sz w:val="24"/>
                <w:szCs w:val="24"/>
              </w:rPr>
            </w:pPr>
          </w:p>
        </w:tc>
        <w:tc>
          <w:tcPr>
            <w:tcW w:w="1185"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color w:val="auto"/>
                <w:sz w:val="24"/>
                <w:szCs w:val="24"/>
              </w:rPr>
            </w:pPr>
          </w:p>
        </w:tc>
        <w:tc>
          <w:tcPr>
            <w:tcW w:w="1377"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color w:val="auto"/>
                <w:sz w:val="24"/>
                <w:szCs w:val="24"/>
              </w:rPr>
            </w:pPr>
          </w:p>
        </w:tc>
        <w:tc>
          <w:tcPr>
            <w:tcW w:w="772"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55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15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2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13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7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559"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5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3,583.83</w:t>
            </w:r>
          </w:p>
        </w:tc>
        <w:tc>
          <w:tcPr>
            <w:tcW w:w="12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3,539.33</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15.89</w:t>
            </w: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社会保障和就业支出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3,499.54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3,455.04</w:t>
            </w:r>
          </w:p>
        </w:tc>
        <w:tc>
          <w:tcPr>
            <w:tcW w:w="132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15.89</w:t>
            </w:r>
          </w:p>
        </w:tc>
        <w:tc>
          <w:tcPr>
            <w:tcW w:w="1185"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行政事业单位养老支出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107.03</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107.03</w:t>
            </w:r>
          </w:p>
        </w:tc>
        <w:tc>
          <w:tcPr>
            <w:tcW w:w="132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2080501</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行政单位离退休</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19.14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19.14</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2080502</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事业单位离退休</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2.31</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2.31</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2080505</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机关事业单位基本养老保险缴费支出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55.89</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55.89</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2080506</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机关事业单位职业年金缴费支出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29.68</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29.68</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残疾人事业</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3,390.48</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3,345.97</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15.89</w:t>
            </w: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2081101</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行政运行</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277.94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277.94</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2081104</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残疾人康复</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883.12</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867.10</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15.89</w:t>
            </w: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2081105</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残疾人就业和扶贫</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164.95</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164.95</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2081106</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残疾人体育</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273.05</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273.05</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2081199</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其他残疾人事业支出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1,791.42</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1,762.93</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其他社会保障和就业支出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2089999</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其他社会保障和就业支出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卫生健康支出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39.05</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39.05</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行政事业单位医疗</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39.05</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39.05</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2101101</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行政单位医疗</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15.61</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15.61</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2101102</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事业单位医疗</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12.47</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12.47</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2101103</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公务员医疗补助</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10.82</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10.82</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2101199</w:t>
            </w:r>
          </w:p>
        </w:tc>
        <w:tc>
          <w:tcPr>
            <w:tcW w:w="4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其他行政事业单位医疗支出</w:t>
            </w:r>
          </w:p>
        </w:tc>
        <w:tc>
          <w:tcPr>
            <w:tcW w:w="15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0.14</w:t>
            </w: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0.14</w:t>
            </w:r>
          </w:p>
        </w:tc>
        <w:tc>
          <w:tcPr>
            <w:tcW w:w="1320"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94" w:type="dxa"/>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4365"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住房保障支出</w:t>
            </w:r>
          </w:p>
        </w:tc>
        <w:tc>
          <w:tcPr>
            <w:tcW w:w="1515"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45.24</w:t>
            </w:r>
          </w:p>
        </w:tc>
        <w:tc>
          <w:tcPr>
            <w:tcW w:w="126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45.24</w:t>
            </w:r>
          </w:p>
        </w:tc>
        <w:tc>
          <w:tcPr>
            <w:tcW w:w="1320" w:type="dxa"/>
            <w:tcBorders>
              <w:top w:val="nil"/>
              <w:left w:val="nil"/>
              <w:bottom w:val="single" w:color="auto"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410" w:type="dxa"/>
            <w:tcBorders>
              <w:top w:val="nil"/>
              <w:left w:val="nil"/>
              <w:bottom w:val="single" w:color="auto" w:sz="4" w:space="0"/>
              <w:right w:val="single" w:color="000000" w:sz="4" w:space="0"/>
            </w:tcBorders>
            <w:shd w:val="clear" w:color="auto" w:fill="auto"/>
            <w:noWrap/>
            <w:vAlign w:val="center"/>
          </w:tcPr>
          <w:p>
            <w:pPr>
              <w:spacing w:line="360" w:lineRule="auto"/>
              <w:jc w:val="right"/>
              <w:rPr>
                <w:color w:val="auto"/>
                <w:sz w:val="24"/>
                <w:szCs w:val="24"/>
              </w:rPr>
            </w:pPr>
          </w:p>
        </w:tc>
        <w:tc>
          <w:tcPr>
            <w:tcW w:w="1185" w:type="dxa"/>
            <w:tcBorders>
              <w:top w:val="nil"/>
              <w:left w:val="nil"/>
              <w:bottom w:val="single" w:color="auto" w:sz="4" w:space="0"/>
              <w:right w:val="single" w:color="000000" w:sz="4" w:space="0"/>
            </w:tcBorders>
            <w:shd w:val="clear" w:color="auto" w:fill="auto"/>
            <w:noWrap/>
            <w:vAlign w:val="center"/>
          </w:tcPr>
          <w:p>
            <w:pPr>
              <w:spacing w:line="360" w:lineRule="auto"/>
              <w:jc w:val="right"/>
              <w:rPr>
                <w:color w:val="auto"/>
                <w:sz w:val="24"/>
                <w:szCs w:val="24"/>
              </w:rPr>
            </w:pPr>
          </w:p>
        </w:tc>
        <w:tc>
          <w:tcPr>
            <w:tcW w:w="1377" w:type="dxa"/>
            <w:tcBorders>
              <w:top w:val="nil"/>
              <w:left w:val="nil"/>
              <w:bottom w:val="single" w:color="auto" w:sz="4" w:space="0"/>
              <w:right w:val="single" w:color="000000" w:sz="4" w:space="0"/>
            </w:tcBorders>
            <w:shd w:val="clear" w:color="auto" w:fill="auto"/>
            <w:noWrap/>
            <w:vAlign w:val="center"/>
          </w:tcPr>
          <w:p>
            <w:pPr>
              <w:spacing w:line="360" w:lineRule="auto"/>
              <w:jc w:val="right"/>
              <w:rPr>
                <w:color w:val="auto"/>
                <w:sz w:val="24"/>
                <w:szCs w:val="24"/>
              </w:rPr>
            </w:pPr>
          </w:p>
        </w:tc>
        <w:tc>
          <w:tcPr>
            <w:tcW w:w="772" w:type="dxa"/>
            <w:tcBorders>
              <w:top w:val="nil"/>
              <w:left w:val="nil"/>
              <w:bottom w:val="single" w:color="auto"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22102</w:t>
            </w:r>
          </w:p>
        </w:tc>
        <w:tc>
          <w:tcPr>
            <w:tcW w:w="43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住房改革支出</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45.24</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45.24</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r>
    </w:tbl>
    <w:p>
      <w:pPr>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ind w:left="645"/>
        <w:rPr>
          <w:rFonts w:hint="eastAsia" w:ascii="仿宋_GB2312" w:eastAsia="仿宋_GB2312"/>
          <w:color w:val="auto"/>
          <w:sz w:val="32"/>
          <w:szCs w:val="32"/>
        </w:rPr>
      </w:pPr>
    </w:p>
    <w:p>
      <w:pPr>
        <w:rPr>
          <w:rFonts w:hint="eastAsia" w:ascii="仿宋_GB2312" w:eastAsia="仿宋_GB2312"/>
          <w:color w:val="auto"/>
          <w:sz w:val="32"/>
          <w:szCs w:val="32"/>
        </w:rPr>
      </w:pPr>
    </w:p>
    <w:p>
      <w:pPr>
        <w:ind w:left="645"/>
        <w:rPr>
          <w:rFonts w:hint="eastAsia" w:ascii="仿宋_GB2312" w:eastAsia="仿宋_GB2312"/>
          <w:color w:val="auto"/>
          <w:sz w:val="32"/>
          <w:szCs w:val="32"/>
        </w:rPr>
      </w:pPr>
    </w:p>
    <w:tbl>
      <w:tblPr>
        <w:tblStyle w:val="4"/>
        <w:tblW w:w="140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
        <w:gridCol w:w="282"/>
        <w:gridCol w:w="662"/>
        <w:gridCol w:w="4380"/>
        <w:gridCol w:w="1395"/>
        <w:gridCol w:w="1350"/>
        <w:gridCol w:w="1365"/>
        <w:gridCol w:w="1298"/>
        <w:gridCol w:w="1312"/>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082" w:type="dxa"/>
            <w:gridSpan w:val="10"/>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表三：</w:t>
            </w:r>
            <w:r>
              <w:rPr>
                <w:rFonts w:hint="eastAsia" w:ascii="宋体" w:hAnsi="宋体" w:eastAsia="宋体" w:cs="宋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80"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282" w:type="dxa"/>
            <w:tcBorders>
              <w:top w:val="nil"/>
              <w:left w:val="nil"/>
              <w:bottom w:val="nil"/>
              <w:right w:val="nil"/>
            </w:tcBorders>
            <w:shd w:val="clear" w:color="auto" w:fill="auto"/>
            <w:noWrap/>
            <w:vAlign w:val="bottom"/>
          </w:tcPr>
          <w:p>
            <w:pPr>
              <w:spacing w:line="360" w:lineRule="auto"/>
              <w:rPr>
                <w:color w:val="auto"/>
                <w:sz w:val="24"/>
                <w:szCs w:val="24"/>
              </w:rPr>
            </w:pPr>
          </w:p>
        </w:tc>
        <w:tc>
          <w:tcPr>
            <w:tcW w:w="662" w:type="dxa"/>
            <w:tcBorders>
              <w:top w:val="nil"/>
              <w:left w:val="nil"/>
              <w:bottom w:val="nil"/>
              <w:right w:val="nil"/>
            </w:tcBorders>
            <w:shd w:val="clear" w:color="auto" w:fill="auto"/>
            <w:noWrap/>
            <w:vAlign w:val="bottom"/>
          </w:tcPr>
          <w:p>
            <w:pPr>
              <w:spacing w:line="360" w:lineRule="auto"/>
              <w:rPr>
                <w:color w:val="auto"/>
                <w:sz w:val="24"/>
                <w:szCs w:val="24"/>
              </w:rPr>
            </w:pPr>
          </w:p>
        </w:tc>
        <w:tc>
          <w:tcPr>
            <w:tcW w:w="4380"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9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50"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65"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298"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312" w:type="dxa"/>
            <w:tcBorders>
              <w:top w:val="nil"/>
              <w:left w:val="nil"/>
              <w:bottom w:val="nil"/>
              <w:right w:val="nil"/>
            </w:tcBorders>
            <w:shd w:val="clear" w:color="auto" w:fill="auto"/>
            <w:noWrap/>
            <w:vAlign w:val="bottom"/>
          </w:tcPr>
          <w:p>
            <w:pPr>
              <w:spacing w:line="360" w:lineRule="auto"/>
              <w:rPr>
                <w:color w:val="auto"/>
                <w:sz w:val="24"/>
                <w:szCs w:val="24"/>
              </w:rPr>
            </w:pPr>
          </w:p>
        </w:tc>
        <w:tc>
          <w:tcPr>
            <w:tcW w:w="1758"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604" w:type="dxa"/>
            <w:gridSpan w:val="4"/>
            <w:tcBorders>
              <w:top w:val="nil"/>
              <w:left w:val="nil"/>
              <w:bottom w:val="nil"/>
              <w:right w:val="nil"/>
            </w:tcBorders>
            <w:shd w:val="clear" w:color="auto" w:fill="auto"/>
            <w:noWrap/>
            <w:vAlign w:val="bottom"/>
          </w:tcPr>
          <w:p>
            <w:pPr>
              <w:spacing w:line="360" w:lineRule="auto"/>
              <w:rPr>
                <w:color w:val="auto"/>
                <w:sz w:val="24"/>
                <w:szCs w:val="24"/>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139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50" w:type="dxa"/>
            <w:tcBorders>
              <w:top w:val="nil"/>
              <w:left w:val="nil"/>
              <w:bottom w:val="nil"/>
              <w:right w:val="nil"/>
            </w:tcBorders>
            <w:shd w:val="clear" w:color="auto" w:fill="auto"/>
            <w:noWrap/>
            <w:vAlign w:val="bottom"/>
          </w:tcPr>
          <w:p>
            <w:pPr>
              <w:spacing w:line="360" w:lineRule="auto"/>
              <w:rPr>
                <w:color w:val="auto"/>
                <w:sz w:val="24"/>
                <w:szCs w:val="24"/>
              </w:rPr>
            </w:pPr>
          </w:p>
        </w:tc>
        <w:tc>
          <w:tcPr>
            <w:tcW w:w="5733" w:type="dxa"/>
            <w:gridSpan w:val="4"/>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6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本年支出合计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基本支出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项目支出</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上缴上级支出</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经营支出</w:t>
            </w:r>
          </w:p>
        </w:tc>
        <w:tc>
          <w:tcPr>
            <w:tcW w:w="175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功能分类科目编码</w:t>
            </w:r>
          </w:p>
        </w:tc>
        <w:tc>
          <w:tcPr>
            <w:tcW w:w="4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139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color w:val="auto"/>
                <w:sz w:val="24"/>
                <w:szCs w:val="24"/>
              </w:rPr>
            </w:pPr>
          </w:p>
        </w:tc>
        <w:tc>
          <w:tcPr>
            <w:tcW w:w="135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color w:val="auto"/>
                <w:sz w:val="24"/>
                <w:szCs w:val="24"/>
              </w:rPr>
            </w:pPr>
          </w:p>
        </w:tc>
        <w:tc>
          <w:tcPr>
            <w:tcW w:w="1365"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4"/>
                <w:szCs w:val="24"/>
                <w:u w:val="none"/>
              </w:rPr>
            </w:pPr>
          </w:p>
        </w:tc>
        <w:tc>
          <w:tcPr>
            <w:tcW w:w="1298"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color w:val="auto"/>
                <w:sz w:val="24"/>
                <w:szCs w:val="24"/>
              </w:rPr>
            </w:pPr>
          </w:p>
        </w:tc>
        <w:tc>
          <w:tcPr>
            <w:tcW w:w="1312" w:type="dxa"/>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color w:val="auto"/>
                <w:sz w:val="24"/>
                <w:szCs w:val="24"/>
              </w:rPr>
            </w:pPr>
          </w:p>
        </w:tc>
        <w:tc>
          <w:tcPr>
            <w:tcW w:w="1758" w:type="dxa"/>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604"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13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13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17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5604"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3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4,019.52</w:t>
            </w:r>
          </w:p>
        </w:tc>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648.89</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3,370.63</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single" w:color="000000" w:sz="4" w:space="0"/>
              <w:left w:val="nil"/>
              <w:bottom w:val="single" w:color="000000" w:sz="4" w:space="0"/>
              <w:right w:val="single" w:color="000000" w:sz="4" w:space="0"/>
            </w:tcBorders>
            <w:shd w:val="clear" w:color="auto" w:fill="auto"/>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社会保障和就业支出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3,932.56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561.93</w:t>
            </w:r>
          </w:p>
        </w:tc>
        <w:tc>
          <w:tcPr>
            <w:tcW w:w="13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3,370.63</w:t>
            </w:r>
          </w:p>
        </w:tc>
        <w:tc>
          <w:tcPr>
            <w:tcW w:w="1298"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行政事业单位养老支出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87.16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87.16</w:t>
            </w:r>
          </w:p>
        </w:tc>
        <w:tc>
          <w:tcPr>
            <w:tcW w:w="1365"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98"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2080501</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行政单位离退休</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19.14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19.14</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2080502</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事业单位离退休</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2.41</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2.41</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2080505</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机关事业单位基本养老保险缴费支出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47.86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47.86</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2080506</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机关事业单位职业年金缴费支出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17.75</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17.75</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残疾人事业</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3,843.36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472.73</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3,370.63</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2081101</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行政运行</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277.66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277.66</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2081104</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残疾人康复</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1,131.94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66.44</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1,065.50</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2081105</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残疾人就业和扶贫</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165.41</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165.41</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2081106</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残疾人体育</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291.80</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291.80</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2081199</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其他残疾人事业支出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1,976.56</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128.63</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1,847.93</w:t>
            </w: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其他社会保障和就业支出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2089999</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其他社会保障和就业支出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卫生健康支出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行政事业单位医疗</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2101101</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行政单位医疗</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15.61</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15.61</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2101102</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事业单位医疗</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10.54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10.54</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2101103</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公务员医疗补助</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10.82</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10.82</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2101199</w:t>
            </w:r>
          </w:p>
        </w:tc>
        <w:tc>
          <w:tcPr>
            <w:tcW w:w="4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其他行政事业单位医疗支出</w:t>
            </w:r>
          </w:p>
        </w:tc>
        <w:tc>
          <w:tcPr>
            <w:tcW w:w="139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0.14</w:t>
            </w:r>
          </w:p>
        </w:tc>
        <w:tc>
          <w:tcPr>
            <w:tcW w:w="13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0.14</w:t>
            </w:r>
          </w:p>
        </w:tc>
        <w:tc>
          <w:tcPr>
            <w:tcW w:w="136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224" w:type="dxa"/>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438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住房保障支出</w:t>
            </w:r>
          </w:p>
        </w:tc>
        <w:tc>
          <w:tcPr>
            <w:tcW w:w="1395"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35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365" w:type="dxa"/>
            <w:tcBorders>
              <w:top w:val="nil"/>
              <w:left w:val="nil"/>
              <w:bottom w:val="single" w:color="auto"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98" w:type="dxa"/>
            <w:tcBorders>
              <w:top w:val="nil"/>
              <w:left w:val="nil"/>
              <w:bottom w:val="single" w:color="auto" w:sz="4" w:space="0"/>
              <w:right w:val="single" w:color="000000" w:sz="4" w:space="0"/>
            </w:tcBorders>
            <w:shd w:val="clear" w:color="auto" w:fill="auto"/>
            <w:noWrap/>
            <w:vAlign w:val="center"/>
          </w:tcPr>
          <w:p>
            <w:pPr>
              <w:spacing w:line="360" w:lineRule="auto"/>
              <w:jc w:val="right"/>
              <w:rPr>
                <w:color w:val="auto"/>
                <w:sz w:val="24"/>
                <w:szCs w:val="24"/>
              </w:rPr>
            </w:pPr>
          </w:p>
        </w:tc>
        <w:tc>
          <w:tcPr>
            <w:tcW w:w="1312" w:type="dxa"/>
            <w:tcBorders>
              <w:top w:val="nil"/>
              <w:left w:val="nil"/>
              <w:bottom w:val="single" w:color="auto" w:sz="4" w:space="0"/>
              <w:right w:val="single" w:color="000000" w:sz="4" w:space="0"/>
            </w:tcBorders>
            <w:shd w:val="clear" w:color="auto" w:fill="auto"/>
            <w:noWrap/>
            <w:vAlign w:val="center"/>
          </w:tcPr>
          <w:p>
            <w:pPr>
              <w:spacing w:line="360" w:lineRule="auto"/>
              <w:jc w:val="right"/>
              <w:rPr>
                <w:color w:val="auto"/>
                <w:sz w:val="24"/>
                <w:szCs w:val="24"/>
              </w:rPr>
            </w:pPr>
          </w:p>
        </w:tc>
        <w:tc>
          <w:tcPr>
            <w:tcW w:w="1758" w:type="dxa"/>
            <w:tcBorders>
              <w:top w:val="nil"/>
              <w:left w:val="nil"/>
              <w:bottom w:val="single" w:color="auto"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2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22102</w:t>
            </w:r>
          </w:p>
        </w:tc>
        <w:tc>
          <w:tcPr>
            <w:tcW w:w="4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住房改革支出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r>
    </w:tbl>
    <w:p>
      <w:pPr>
        <w:rPr>
          <w:rFonts w:hint="eastAsia" w:ascii="仿宋_GB2312" w:eastAsia="仿宋_GB2312"/>
          <w:color w:val="auto"/>
          <w:sz w:val="32"/>
          <w:szCs w:val="32"/>
        </w:rPr>
      </w:pPr>
    </w:p>
    <w:p>
      <w:pPr>
        <w:ind w:left="645"/>
        <w:rPr>
          <w:rFonts w:hint="eastAsia" w:ascii="仿宋_GB2312" w:eastAsia="仿宋_GB2312"/>
          <w:color w:val="auto"/>
          <w:sz w:val="32"/>
          <w:szCs w:val="32"/>
          <w:lang w:eastAsia="zh-CN"/>
        </w:rPr>
      </w:pPr>
    </w:p>
    <w:p>
      <w:pPr>
        <w:ind w:left="645"/>
        <w:rPr>
          <w:rFonts w:hint="eastAsia" w:ascii="仿宋_GB2312" w:eastAsia="仿宋_GB2312"/>
          <w:color w:val="auto"/>
          <w:sz w:val="32"/>
          <w:szCs w:val="32"/>
          <w:lang w:eastAsia="zh-CN"/>
        </w:rPr>
      </w:pPr>
    </w:p>
    <w:p>
      <w:pPr>
        <w:ind w:left="645"/>
        <w:rPr>
          <w:rFonts w:hint="eastAsia" w:ascii="仿宋_GB2312" w:eastAsia="仿宋_GB2312"/>
          <w:color w:val="auto"/>
          <w:sz w:val="32"/>
          <w:szCs w:val="32"/>
          <w:lang w:eastAsia="zh-CN"/>
        </w:rPr>
      </w:pPr>
    </w:p>
    <w:p>
      <w:pPr>
        <w:rPr>
          <w:rFonts w:hint="eastAsia" w:ascii="仿宋_GB2312" w:eastAsia="仿宋_GB2312"/>
          <w:color w:val="auto"/>
          <w:sz w:val="32"/>
          <w:szCs w:val="32"/>
          <w:lang w:eastAsia="zh-CN"/>
        </w:rPr>
      </w:pPr>
    </w:p>
    <w:tbl>
      <w:tblPr>
        <w:tblStyle w:val="4"/>
        <w:tblW w:w="142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7"/>
        <w:gridCol w:w="514"/>
        <w:gridCol w:w="1143"/>
        <w:gridCol w:w="3690"/>
        <w:gridCol w:w="514"/>
        <w:gridCol w:w="1143"/>
        <w:gridCol w:w="1361"/>
        <w:gridCol w:w="1416"/>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4252" w:type="dxa"/>
            <w:gridSpan w:val="9"/>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表四：</w:t>
            </w:r>
            <w:r>
              <w:rPr>
                <w:rFonts w:hint="eastAsia" w:ascii="宋体" w:hAnsi="宋体" w:eastAsia="宋体" w:cs="宋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227"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514"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43" w:type="dxa"/>
            <w:tcBorders>
              <w:top w:val="nil"/>
              <w:left w:val="nil"/>
              <w:bottom w:val="nil"/>
              <w:right w:val="nil"/>
            </w:tcBorders>
            <w:shd w:val="clear" w:color="auto" w:fill="auto"/>
            <w:noWrap/>
            <w:vAlign w:val="bottom"/>
          </w:tcPr>
          <w:p>
            <w:pPr>
              <w:spacing w:line="360" w:lineRule="auto"/>
              <w:rPr>
                <w:color w:val="auto"/>
                <w:sz w:val="24"/>
                <w:szCs w:val="24"/>
              </w:rPr>
            </w:pPr>
          </w:p>
        </w:tc>
        <w:tc>
          <w:tcPr>
            <w:tcW w:w="3690" w:type="dxa"/>
            <w:tcBorders>
              <w:top w:val="nil"/>
              <w:left w:val="nil"/>
              <w:bottom w:val="nil"/>
              <w:right w:val="nil"/>
            </w:tcBorders>
            <w:shd w:val="clear" w:color="auto" w:fill="auto"/>
            <w:noWrap/>
            <w:vAlign w:val="bottom"/>
          </w:tcPr>
          <w:p>
            <w:pPr>
              <w:spacing w:line="360" w:lineRule="auto"/>
              <w:rPr>
                <w:color w:val="auto"/>
                <w:sz w:val="24"/>
                <w:szCs w:val="24"/>
              </w:rPr>
            </w:pPr>
          </w:p>
        </w:tc>
        <w:tc>
          <w:tcPr>
            <w:tcW w:w="514"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143" w:type="dxa"/>
            <w:tcBorders>
              <w:top w:val="nil"/>
              <w:left w:val="nil"/>
              <w:bottom w:val="nil"/>
              <w:right w:val="nil"/>
            </w:tcBorders>
            <w:shd w:val="clear" w:color="auto" w:fill="auto"/>
            <w:noWrap/>
            <w:vAlign w:val="bottom"/>
          </w:tcPr>
          <w:p>
            <w:pPr>
              <w:spacing w:line="360" w:lineRule="auto"/>
              <w:rPr>
                <w:color w:val="auto"/>
                <w:sz w:val="24"/>
                <w:szCs w:val="24"/>
              </w:rPr>
            </w:pPr>
          </w:p>
        </w:tc>
        <w:tc>
          <w:tcPr>
            <w:tcW w:w="1361" w:type="dxa"/>
            <w:tcBorders>
              <w:top w:val="nil"/>
              <w:left w:val="nil"/>
              <w:bottom w:val="nil"/>
              <w:right w:val="nil"/>
            </w:tcBorders>
            <w:shd w:val="clear" w:color="auto" w:fill="auto"/>
            <w:noWrap/>
            <w:vAlign w:val="bottom"/>
          </w:tcPr>
          <w:p>
            <w:pPr>
              <w:spacing w:line="360" w:lineRule="auto"/>
              <w:rPr>
                <w:color w:val="auto"/>
                <w:sz w:val="24"/>
                <w:szCs w:val="24"/>
              </w:rPr>
            </w:pPr>
          </w:p>
        </w:tc>
        <w:tc>
          <w:tcPr>
            <w:tcW w:w="1416" w:type="dxa"/>
            <w:tcBorders>
              <w:top w:val="nil"/>
              <w:left w:val="nil"/>
              <w:bottom w:val="nil"/>
              <w:right w:val="nil"/>
            </w:tcBorders>
            <w:shd w:val="clear" w:color="auto" w:fill="auto"/>
            <w:noWrap/>
            <w:vAlign w:val="bottom"/>
          </w:tcPr>
          <w:p>
            <w:pPr>
              <w:spacing w:line="360" w:lineRule="auto"/>
              <w:rPr>
                <w:color w:val="auto"/>
                <w:sz w:val="24"/>
                <w:szCs w:val="24"/>
              </w:rPr>
            </w:pPr>
          </w:p>
        </w:tc>
        <w:tc>
          <w:tcPr>
            <w:tcW w:w="1244"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227"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514"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43" w:type="dxa"/>
            <w:tcBorders>
              <w:top w:val="nil"/>
              <w:left w:val="nil"/>
              <w:bottom w:val="nil"/>
              <w:right w:val="nil"/>
            </w:tcBorders>
            <w:shd w:val="clear" w:color="auto" w:fill="auto"/>
            <w:noWrap/>
            <w:vAlign w:val="bottom"/>
          </w:tcPr>
          <w:p>
            <w:pPr>
              <w:spacing w:line="360" w:lineRule="auto"/>
              <w:rPr>
                <w:color w:val="auto"/>
                <w:sz w:val="24"/>
                <w:szCs w:val="24"/>
              </w:rPr>
            </w:pPr>
          </w:p>
        </w:tc>
        <w:tc>
          <w:tcPr>
            <w:tcW w:w="3690" w:type="dxa"/>
            <w:tcBorders>
              <w:top w:val="nil"/>
              <w:left w:val="nil"/>
              <w:bottom w:val="nil"/>
              <w:right w:val="nil"/>
            </w:tcBorders>
            <w:shd w:val="clear" w:color="auto" w:fill="auto"/>
            <w:noWrap/>
            <w:vAlign w:val="bottom"/>
          </w:tcPr>
          <w:p>
            <w:pPr>
              <w:spacing w:line="360" w:lineRule="auto"/>
              <w:rPr>
                <w:color w:val="auto"/>
                <w:sz w:val="24"/>
                <w:szCs w:val="24"/>
              </w:rPr>
            </w:pPr>
          </w:p>
        </w:tc>
        <w:tc>
          <w:tcPr>
            <w:tcW w:w="514"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5164" w:type="dxa"/>
            <w:gridSpan w:val="4"/>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     入</w:t>
            </w:r>
          </w:p>
        </w:tc>
        <w:tc>
          <w:tcPr>
            <w:tcW w:w="93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32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5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行次</w:t>
            </w:r>
          </w:p>
        </w:tc>
        <w:tc>
          <w:tcPr>
            <w:tcW w:w="11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金额</w:t>
            </w:r>
          </w:p>
        </w:tc>
        <w:tc>
          <w:tcPr>
            <w:tcW w:w="3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项目</w:t>
            </w:r>
          </w:p>
        </w:tc>
        <w:tc>
          <w:tcPr>
            <w:tcW w:w="5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行次</w:t>
            </w:r>
          </w:p>
        </w:tc>
        <w:tc>
          <w:tcPr>
            <w:tcW w:w="11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合计</w:t>
            </w:r>
          </w:p>
        </w:tc>
        <w:tc>
          <w:tcPr>
            <w:tcW w:w="13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一般公共预算财政拨款</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政府性基金预算财政拨款</w:t>
            </w:r>
          </w:p>
        </w:tc>
        <w:tc>
          <w:tcPr>
            <w:tcW w:w="12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32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514"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color w:val="auto"/>
                <w:sz w:val="24"/>
                <w:szCs w:val="24"/>
              </w:rPr>
            </w:pPr>
          </w:p>
        </w:tc>
        <w:tc>
          <w:tcPr>
            <w:tcW w:w="11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3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栏次</w:t>
            </w:r>
          </w:p>
        </w:tc>
        <w:tc>
          <w:tcPr>
            <w:tcW w:w="514" w:type="dxa"/>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11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13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14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12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一、一般公共预算财政拨款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3,539.33</w:t>
            </w: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一、一般公共服务支出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二、政府性基金预算财政拨款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二、外交支出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三、国有资本经营财政拨款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三、国防支出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四、公共安全支出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五、教育支出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六、科学技术支出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七、文化旅游体育与传媒支出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八、社会保障和就业支出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3,654.61</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3,654.61</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九、卫生健康支出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十、节能环保支出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十一、城乡社区支出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十二、农林水支出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十三、交通运输支出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十四、资源勘探工业信息等支出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十五、商业服务业等支出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十六、金融支出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十七、援助其他地区支出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十八、自然资源海洋气象等支出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十九、住房保障支出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二十、粮油物资储备支出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二十一、国有资本经营预算支出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22</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二十二、灾害防治及应急管理支出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23</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二十三、其他支出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二十四、债务还本支出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b/>
                <w:bCs/>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25</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二十五、债务付息支出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26</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二十六、抗疫特别国债安排的支出</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本年收入合计</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3,539.33</w:t>
            </w: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本年支出合计</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3,741.57</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3,741.57</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年初财政拨款结转和结余</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28</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443.11</w:t>
            </w: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年末财政拨款结转和结余</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240.87</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240.87</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一般公共预算财政拨款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443.11</w:t>
            </w: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政府性基金预算财政拨款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国有资本经营预算财政拨款</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31</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143"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361"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2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总计</w:t>
            </w:r>
          </w:p>
        </w:tc>
        <w:tc>
          <w:tcPr>
            <w:tcW w:w="5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32</w:t>
            </w:r>
          </w:p>
        </w:tc>
        <w:tc>
          <w:tcPr>
            <w:tcW w:w="11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3,982.44</w:t>
            </w:r>
          </w:p>
        </w:tc>
        <w:tc>
          <w:tcPr>
            <w:tcW w:w="36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总计</w:t>
            </w:r>
          </w:p>
        </w:tc>
        <w:tc>
          <w:tcPr>
            <w:tcW w:w="5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1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3,982.44</w:t>
            </w:r>
          </w:p>
        </w:tc>
        <w:tc>
          <w:tcPr>
            <w:tcW w:w="13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3,982.44</w:t>
            </w:r>
          </w:p>
        </w:tc>
        <w:tc>
          <w:tcPr>
            <w:tcW w:w="1416"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44"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252" w:type="dxa"/>
            <w:gridSpan w:val="9"/>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4252" w:type="dxa"/>
            <w:gridSpan w:val="9"/>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p>
        </w:tc>
      </w:tr>
    </w:tbl>
    <w:p>
      <w:pPr>
        <w:bidi w:val="0"/>
        <w:rPr>
          <w:rFonts w:hint="eastAsia" w:ascii="仿宋_GB2312" w:eastAsia="仿宋_GB2312"/>
          <w:color w:val="auto"/>
          <w:sz w:val="32"/>
          <w:szCs w:val="32"/>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6"/>
        <w:gridCol w:w="222"/>
        <w:gridCol w:w="240"/>
        <w:gridCol w:w="4278"/>
        <w:gridCol w:w="1184"/>
        <w:gridCol w:w="1176"/>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12092" w:type="dxa"/>
            <w:gridSpan w:val="7"/>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表五：</w:t>
            </w:r>
            <w:r>
              <w:rPr>
                <w:rFonts w:hint="eastAsia" w:ascii="宋体" w:hAnsi="宋体" w:eastAsia="宋体" w:cs="宋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096"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222" w:type="dxa"/>
            <w:tcBorders>
              <w:top w:val="nil"/>
              <w:left w:val="nil"/>
              <w:bottom w:val="nil"/>
              <w:right w:val="nil"/>
            </w:tcBorders>
            <w:shd w:val="clear" w:color="auto" w:fill="auto"/>
            <w:noWrap/>
            <w:vAlign w:val="bottom"/>
          </w:tcPr>
          <w:p>
            <w:pPr>
              <w:spacing w:line="360" w:lineRule="auto"/>
              <w:rPr>
                <w:color w:val="auto"/>
                <w:sz w:val="24"/>
                <w:szCs w:val="24"/>
              </w:rPr>
            </w:pPr>
          </w:p>
        </w:tc>
        <w:tc>
          <w:tcPr>
            <w:tcW w:w="240" w:type="dxa"/>
            <w:tcBorders>
              <w:top w:val="nil"/>
              <w:left w:val="nil"/>
              <w:bottom w:val="nil"/>
              <w:right w:val="nil"/>
            </w:tcBorders>
            <w:shd w:val="clear" w:color="auto" w:fill="auto"/>
            <w:noWrap/>
            <w:vAlign w:val="bottom"/>
          </w:tcPr>
          <w:p>
            <w:pPr>
              <w:spacing w:line="360" w:lineRule="auto"/>
              <w:rPr>
                <w:color w:val="auto"/>
                <w:sz w:val="24"/>
                <w:szCs w:val="24"/>
              </w:rPr>
            </w:pPr>
          </w:p>
        </w:tc>
        <w:tc>
          <w:tcPr>
            <w:tcW w:w="4278"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84"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76"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896"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096"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222" w:type="dxa"/>
            <w:tcBorders>
              <w:top w:val="nil"/>
              <w:left w:val="nil"/>
              <w:bottom w:val="nil"/>
              <w:right w:val="nil"/>
            </w:tcBorders>
            <w:shd w:val="clear" w:color="auto" w:fill="auto"/>
            <w:noWrap/>
            <w:vAlign w:val="bottom"/>
          </w:tcPr>
          <w:p>
            <w:pPr>
              <w:spacing w:line="360" w:lineRule="auto"/>
              <w:rPr>
                <w:color w:val="auto"/>
                <w:sz w:val="24"/>
                <w:szCs w:val="24"/>
              </w:rPr>
            </w:pPr>
          </w:p>
        </w:tc>
        <w:tc>
          <w:tcPr>
            <w:tcW w:w="240" w:type="dxa"/>
            <w:tcBorders>
              <w:top w:val="nil"/>
              <w:left w:val="nil"/>
              <w:bottom w:val="nil"/>
              <w:right w:val="nil"/>
            </w:tcBorders>
            <w:shd w:val="clear" w:color="auto" w:fill="auto"/>
            <w:noWrap/>
            <w:vAlign w:val="bottom"/>
          </w:tcPr>
          <w:p>
            <w:pPr>
              <w:spacing w:line="360" w:lineRule="auto"/>
              <w:rPr>
                <w:color w:val="auto"/>
                <w:sz w:val="24"/>
                <w:szCs w:val="24"/>
              </w:rPr>
            </w:pPr>
          </w:p>
        </w:tc>
        <w:tc>
          <w:tcPr>
            <w:tcW w:w="4278"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84" w:type="dxa"/>
            <w:tcBorders>
              <w:top w:val="nil"/>
              <w:left w:val="nil"/>
              <w:bottom w:val="nil"/>
              <w:right w:val="nil"/>
            </w:tcBorders>
            <w:shd w:val="clear" w:color="auto" w:fill="auto"/>
            <w:noWrap/>
            <w:vAlign w:val="bottom"/>
          </w:tcPr>
          <w:p>
            <w:pPr>
              <w:spacing w:line="360" w:lineRule="auto"/>
              <w:rPr>
                <w:color w:val="auto"/>
                <w:sz w:val="24"/>
                <w:szCs w:val="24"/>
              </w:rPr>
            </w:pPr>
          </w:p>
        </w:tc>
        <w:tc>
          <w:tcPr>
            <w:tcW w:w="1176"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1896" w:type="dxa"/>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78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4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功能分类科目编码</w:t>
            </w:r>
          </w:p>
        </w:tc>
        <w:tc>
          <w:tcPr>
            <w:tcW w:w="42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11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小计</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基本支出</w:t>
            </w:r>
          </w:p>
        </w:tc>
        <w:tc>
          <w:tcPr>
            <w:tcW w:w="18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783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11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8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783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1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b/>
                <w:bCs/>
                <w:i w:val="0"/>
                <w:iCs w:val="0"/>
                <w:color w:val="auto"/>
                <w:kern w:val="0"/>
                <w:sz w:val="24"/>
                <w:szCs w:val="24"/>
                <w:u w:val="none"/>
                <w:lang w:val="en-US" w:eastAsia="zh-CN" w:bidi="ar"/>
              </w:rPr>
              <w:t>3,741.57</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648.89</w:t>
            </w:r>
          </w:p>
        </w:tc>
        <w:tc>
          <w:tcPr>
            <w:tcW w:w="189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3,092.68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社会保障和就业支出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3,654.61</w:t>
            </w:r>
          </w:p>
        </w:tc>
        <w:tc>
          <w:tcPr>
            <w:tcW w:w="11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561.93</w:t>
            </w: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行政事业单位养老支出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87.16</w:t>
            </w:r>
          </w:p>
        </w:tc>
        <w:tc>
          <w:tcPr>
            <w:tcW w:w="117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87.16</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2080501</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行政单位离退休</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19.14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19.14</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2080502</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事业单位离退休</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2.41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2080505</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机关事业单位基本养老保险缴费支出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47.86</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47.86</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2080506</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机关事业单位职业年金缴费支出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17.75</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17.75</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残疾人事业</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3,565.41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472.73</w:t>
            </w: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3,092.68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2081101</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行政运行</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277.66</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277.66</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2081104</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残疾人康复</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883.55</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66.44</w:t>
            </w: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2081105</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残疾人就业和扶贫</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165.41</w:t>
            </w:r>
          </w:p>
        </w:tc>
        <w:tc>
          <w:tcPr>
            <w:tcW w:w="117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2081106</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残疾人体育</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291.80</w:t>
            </w:r>
          </w:p>
        </w:tc>
        <w:tc>
          <w:tcPr>
            <w:tcW w:w="117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2081199</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其他残疾人事业支出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1,946.99</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128.63</w:t>
            </w:r>
          </w:p>
        </w:tc>
        <w:tc>
          <w:tcPr>
            <w:tcW w:w="18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其他社会保障和就业支出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2089999</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其他社会保障和就业支出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2.04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卫生健康支出</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37.12</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行政事业单位医疗</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37.12</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37.12</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2101101</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行政单位医疗</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15.61</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15.61</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2101102</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事业单位医疗</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10.54</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10.54</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2101103</w:t>
            </w:r>
          </w:p>
        </w:tc>
        <w:tc>
          <w:tcPr>
            <w:tcW w:w="42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公务员医疗补助</w:t>
            </w:r>
          </w:p>
        </w:tc>
        <w:tc>
          <w:tcPr>
            <w:tcW w:w="118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10.82</w:t>
            </w:r>
          </w:p>
        </w:tc>
        <w:tc>
          <w:tcPr>
            <w:tcW w:w="1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10.82</w:t>
            </w:r>
          </w:p>
        </w:tc>
        <w:tc>
          <w:tcPr>
            <w:tcW w:w="18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jc w:val="center"/>
        </w:trPr>
        <w:tc>
          <w:tcPr>
            <w:tcW w:w="3558" w:type="dxa"/>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2101199</w:t>
            </w:r>
          </w:p>
        </w:tc>
        <w:tc>
          <w:tcPr>
            <w:tcW w:w="427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其他行政事业单位医疗支出</w:t>
            </w:r>
          </w:p>
        </w:tc>
        <w:tc>
          <w:tcPr>
            <w:tcW w:w="118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0.14</w:t>
            </w:r>
          </w:p>
        </w:tc>
        <w:tc>
          <w:tcPr>
            <w:tcW w:w="117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0.14</w:t>
            </w:r>
          </w:p>
        </w:tc>
        <w:tc>
          <w:tcPr>
            <w:tcW w:w="1896" w:type="dxa"/>
            <w:tcBorders>
              <w:top w:val="nil"/>
              <w:left w:val="nil"/>
              <w:bottom w:val="single" w:color="auto"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558"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427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住房保障支出</w:t>
            </w:r>
          </w:p>
        </w:tc>
        <w:tc>
          <w:tcPr>
            <w:tcW w:w="1184"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49.83</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3558"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22102</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住房改革支出</w:t>
            </w: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49.83</w:t>
            </w:r>
          </w:p>
        </w:tc>
        <w:tc>
          <w:tcPr>
            <w:tcW w:w="18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right"/>
              <w:rPr>
                <w:color w:val="auto"/>
                <w:sz w:val="24"/>
                <w:szCs w:val="24"/>
              </w:rPr>
            </w:pPr>
          </w:p>
        </w:tc>
      </w:tr>
    </w:tbl>
    <w:p>
      <w:pPr>
        <w:rPr>
          <w:rFonts w:hint="eastAsia" w:ascii="仿宋_GB2312" w:eastAsia="仿宋_GB2312"/>
          <w:color w:val="auto"/>
          <w:sz w:val="32"/>
          <w:szCs w:val="32"/>
        </w:rPr>
        <w:sectPr>
          <w:type w:val="continuous"/>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仿宋_GB2312" w:eastAsia="仿宋_GB2312"/>
          <w:color w:val="auto"/>
          <w:sz w:val="32"/>
          <w:szCs w:val="32"/>
        </w:rPr>
      </w:pPr>
    </w:p>
    <w:tbl>
      <w:tblPr>
        <w:tblStyle w:val="4"/>
        <w:tblW w:w="140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2550"/>
        <w:gridCol w:w="1335"/>
        <w:gridCol w:w="1215"/>
        <w:gridCol w:w="1935"/>
        <w:gridCol w:w="1290"/>
        <w:gridCol w:w="1260"/>
        <w:gridCol w:w="2490"/>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083" w:type="dxa"/>
            <w:gridSpan w:val="9"/>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表六：</w:t>
            </w:r>
            <w:r>
              <w:rPr>
                <w:rFonts w:hint="eastAsia" w:ascii="宋体" w:hAnsi="宋体" w:eastAsia="宋体" w:cs="宋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4083" w:type="dxa"/>
            <w:gridSpan w:val="9"/>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854" w:type="dxa"/>
            <w:gridSpan w:val="3"/>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1215" w:type="dxa"/>
            <w:tcBorders>
              <w:top w:val="nil"/>
              <w:left w:val="nil"/>
              <w:bottom w:val="nil"/>
              <w:right w:val="nil"/>
            </w:tcBorders>
            <w:shd w:val="clear" w:color="auto" w:fill="auto"/>
            <w:noWrap/>
            <w:vAlign w:val="bottom"/>
          </w:tcPr>
          <w:p>
            <w:pPr>
              <w:spacing w:line="360" w:lineRule="auto"/>
              <w:rPr>
                <w:color w:val="auto"/>
                <w:sz w:val="24"/>
                <w:szCs w:val="24"/>
              </w:rPr>
            </w:pPr>
          </w:p>
        </w:tc>
        <w:tc>
          <w:tcPr>
            <w:tcW w:w="1935" w:type="dxa"/>
            <w:tcBorders>
              <w:top w:val="nil"/>
              <w:left w:val="nil"/>
              <w:bottom w:val="nil"/>
              <w:right w:val="nil"/>
            </w:tcBorders>
            <w:shd w:val="clear" w:color="auto" w:fill="auto"/>
            <w:noWrap/>
            <w:vAlign w:val="bottom"/>
          </w:tcPr>
          <w:p>
            <w:pPr>
              <w:spacing w:line="360" w:lineRule="auto"/>
              <w:rPr>
                <w:color w:val="auto"/>
                <w:sz w:val="24"/>
                <w:szCs w:val="24"/>
              </w:rPr>
            </w:pPr>
          </w:p>
        </w:tc>
        <w:tc>
          <w:tcPr>
            <w:tcW w:w="6079" w:type="dxa"/>
            <w:gridSpan w:val="4"/>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4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人员经费</w:t>
            </w:r>
          </w:p>
        </w:tc>
        <w:tc>
          <w:tcPr>
            <w:tcW w:w="92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科目编码</w:t>
            </w:r>
          </w:p>
        </w:tc>
        <w:tc>
          <w:tcPr>
            <w:tcW w:w="2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决算数</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科目编码</w:t>
            </w:r>
          </w:p>
        </w:tc>
        <w:tc>
          <w:tcPr>
            <w:tcW w:w="19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决算数</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科目编码</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科目名称</w:t>
            </w:r>
          </w:p>
        </w:tc>
        <w:tc>
          <w:tcPr>
            <w:tcW w:w="10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w:t>
            </w:r>
          </w:p>
        </w:tc>
        <w:tc>
          <w:tcPr>
            <w:tcW w:w="25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工资福利支出</w:t>
            </w:r>
          </w:p>
        </w:tc>
        <w:tc>
          <w:tcPr>
            <w:tcW w:w="13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574.73</w:t>
            </w:r>
          </w:p>
        </w:tc>
        <w:tc>
          <w:tcPr>
            <w:tcW w:w="12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w:t>
            </w:r>
          </w:p>
        </w:tc>
        <w:tc>
          <w:tcPr>
            <w:tcW w:w="19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商品和服务支出</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50.95</w:t>
            </w:r>
          </w:p>
        </w:tc>
        <w:tc>
          <w:tcPr>
            <w:tcW w:w="12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债务利息及费用支出</w:t>
            </w:r>
          </w:p>
        </w:tc>
        <w:tc>
          <w:tcPr>
            <w:tcW w:w="1039" w:type="dxa"/>
            <w:tcBorders>
              <w:top w:val="nil"/>
              <w:left w:val="nil"/>
              <w:bottom w:val="single" w:color="000000" w:sz="4" w:space="0"/>
              <w:right w:val="single" w:color="000000" w:sz="4" w:space="0"/>
            </w:tcBorders>
            <w:shd w:val="clear" w:color="auto" w:fill="auto"/>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30101</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基本工资</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123.67</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30201</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办公费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5.34</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30701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国内债务付息</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30102</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津贴补贴</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87.97</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30202</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印刷费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30702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国外债务付息</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30103</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奖金</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74.90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30203</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咨询费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资本性支出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30106</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伙食补助费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6.62</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30204</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手续费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0.15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房屋建筑物购建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30107</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绩效工资</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114.72</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水费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0.56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办公设备购置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30108</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机关事业单位基本养老保险缴费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47.86</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30206</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电费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3.22</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专用设备购置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30109</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职业年金缴费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17.75</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30207</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邮电费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0.59</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31005</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基础设施建设</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30110</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职工基本医疗保险缴费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24.62</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30208</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取暖费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大型修缮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30111</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公务员医疗补助缴费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12.47</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30209</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物业管理费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信息网络及软件购置更新</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30112</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其他社会保障缴费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7.48</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30211</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差旅费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6.52</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物资储备</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30113</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住房公积金</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49.83</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30212</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因公出国（境）费用</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31009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土地补偿</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30114</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医疗费</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30213</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维修（护）费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1.32</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31010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安置补助</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30199</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其他工资福利支出</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6.82</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30214</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租赁费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31011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地上附着物和青苗补偿</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对个人和家庭的补助</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23.21</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会议费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0.01</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31012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拆迁补偿</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30301</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离休费</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30216</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培训费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9.46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31013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公务用车购置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30302</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退休费</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21.15</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30217</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公务接待费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1.06</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31019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其他交通工具购置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30303</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退职（役）费</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30218</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专用材料费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0.07</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31021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文物和陈列品购置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30304</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抚恤金</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30224</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被装购置费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31022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无形资产购置</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30305</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生活补助</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30225</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专用燃料费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31099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其他资本性支出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30306</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救济费</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30226</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劳务费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5.75</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其他支出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30307</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医疗费补助</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30227</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委托业务费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1.82</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39906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赠与</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30308</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助学金</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30228</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工会经费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7.60</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39907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国家赔偿费用支出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30309</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奖励金</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30229</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福利费</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0.93</w:t>
            </w: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39908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对民间非营利组织和群众性自治组织补贴</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30310</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个人农业生产补贴</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30231</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公务用车运行维护费</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39999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其他支出</w:t>
            </w: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30311</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代缴社会保险费</w:t>
            </w: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30239</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其他交通费用</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0.49</w:t>
            </w:r>
          </w:p>
        </w:tc>
        <w:tc>
          <w:tcPr>
            <w:tcW w:w="126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249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30399</w:t>
            </w: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其他对个人和家庭的补助</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0.02</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30240</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税金及附加费用</w:t>
            </w:r>
          </w:p>
        </w:tc>
        <w:tc>
          <w:tcPr>
            <w:tcW w:w="1290" w:type="dxa"/>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26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249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69"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2550"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1335"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30299</w:t>
            </w:r>
          </w:p>
        </w:tc>
        <w:tc>
          <w:tcPr>
            <w:tcW w:w="19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 xml:space="preserve">  其他商品和服务支出</w:t>
            </w:r>
          </w:p>
        </w:tc>
        <w:tc>
          <w:tcPr>
            <w:tcW w:w="12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6.06</w:t>
            </w:r>
          </w:p>
        </w:tc>
        <w:tc>
          <w:tcPr>
            <w:tcW w:w="126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2490" w:type="dxa"/>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1039"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519"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人员经费合计</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597.93</w:t>
            </w:r>
          </w:p>
        </w:tc>
        <w:tc>
          <w:tcPr>
            <w:tcW w:w="819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公用经费合计</w:t>
            </w:r>
          </w:p>
        </w:tc>
        <w:tc>
          <w:tcPr>
            <w:tcW w:w="10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083" w:type="dxa"/>
            <w:gridSpan w:val="9"/>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083" w:type="dxa"/>
            <w:gridSpan w:val="9"/>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p>
        </w:tc>
      </w:tr>
    </w:tbl>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532"/>
        <w:gridCol w:w="599"/>
        <w:gridCol w:w="1111"/>
        <w:gridCol w:w="1111"/>
        <w:gridCol w:w="1066"/>
        <w:gridCol w:w="759"/>
        <w:gridCol w:w="1532"/>
        <w:gridCol w:w="599"/>
        <w:gridCol w:w="1111"/>
        <w:gridCol w:w="1111"/>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0" w:type="auto"/>
            <w:gridSpan w:val="12"/>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表七：</w:t>
            </w:r>
            <w:r>
              <w:rPr>
                <w:rFonts w:hint="eastAsia" w:ascii="宋体" w:hAnsi="宋体" w:eastAsia="宋体" w:cs="宋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6"/>
            <w:tcBorders>
              <w:top w:val="nil"/>
              <w:left w:val="nil"/>
              <w:bottom w:val="nil"/>
              <w:right w:val="nil"/>
            </w:tcBorders>
            <w:shd w:val="clear" w:color="auto" w:fill="auto"/>
            <w:noWrap/>
            <w:vAlign w:val="bottom"/>
          </w:tcPr>
          <w:p>
            <w:pPr>
              <w:spacing w:line="360" w:lineRule="auto"/>
              <w:rPr>
                <w:color w:val="auto"/>
                <w:sz w:val="24"/>
                <w:szCs w:val="24"/>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color w:val="auto"/>
                <w:sz w:val="24"/>
                <w:szCs w:val="24"/>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0" w:type="auto"/>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因公出国（境）费</w:t>
            </w:r>
          </w:p>
        </w:tc>
        <w:tc>
          <w:tcPr>
            <w:tcW w:w="0" w:type="auto"/>
            <w:gridSpan w:val="3"/>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公务用车购置及运行费</w:t>
            </w:r>
          </w:p>
        </w:tc>
        <w:tc>
          <w:tcPr>
            <w:tcW w:w="0" w:type="auto"/>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公务接待费</w:t>
            </w:r>
          </w:p>
        </w:tc>
        <w:tc>
          <w:tcPr>
            <w:tcW w:w="0" w:type="auto"/>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vMerge w:val="continue"/>
            <w:tcBorders>
              <w:top w:val="nil"/>
              <w:left w:val="single" w:color="000000" w:sz="4" w:space="0"/>
              <w:bottom w:val="single" w:color="000000" w:sz="4" w:space="0"/>
              <w:right w:val="single" w:color="000000" w:sz="4" w:space="0"/>
            </w:tcBorders>
            <w:shd w:val="clear" w:color="FFFFFF"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single" w:color="000000" w:sz="4" w:space="0"/>
              <w:bottom w:val="single" w:color="000000" w:sz="4" w:space="0"/>
              <w:right w:val="single" w:color="000000" w:sz="4" w:space="0"/>
            </w:tcBorders>
            <w:shd w:val="clear" w:color="FFFFFF" w:fill="auto"/>
            <w:vAlign w:val="center"/>
          </w:tcPr>
          <w:p>
            <w:pPr>
              <w:spacing w:line="360" w:lineRule="auto"/>
              <w:jc w:val="center"/>
              <w:rPr>
                <w:color w:val="auto"/>
                <w:sz w:val="24"/>
                <w:szCs w:val="24"/>
              </w:rPr>
            </w:pP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小计</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公务用车购置费</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公务用车运行费</w:t>
            </w:r>
          </w:p>
        </w:tc>
        <w:tc>
          <w:tcPr>
            <w:tcW w:w="0" w:type="auto"/>
            <w:vMerge w:val="continue"/>
            <w:tcBorders>
              <w:top w:val="nil"/>
              <w:left w:val="single" w:color="000000" w:sz="4" w:space="0"/>
              <w:bottom w:val="single" w:color="000000" w:sz="4" w:space="0"/>
              <w:right w:val="single" w:color="000000" w:sz="4" w:space="0"/>
            </w:tcBorders>
            <w:shd w:val="clear" w:color="FFFFFF" w:fill="auto"/>
            <w:vAlign w:val="center"/>
          </w:tcPr>
          <w:p>
            <w:pPr>
              <w:spacing w:line="360" w:lineRule="auto"/>
              <w:jc w:val="center"/>
              <w:rPr>
                <w:color w:val="auto"/>
                <w:sz w:val="24"/>
                <w:szCs w:val="24"/>
              </w:rPr>
            </w:pPr>
          </w:p>
        </w:tc>
        <w:tc>
          <w:tcPr>
            <w:tcW w:w="0" w:type="auto"/>
            <w:vMerge w:val="continue"/>
            <w:tcBorders>
              <w:top w:val="nil"/>
              <w:left w:val="single" w:color="000000" w:sz="4" w:space="0"/>
              <w:bottom w:val="single" w:color="000000" w:sz="4" w:space="0"/>
              <w:right w:val="single" w:color="000000" w:sz="4" w:space="0"/>
            </w:tcBorders>
            <w:shd w:val="clear" w:color="FFFFFF" w:fill="auto"/>
            <w:vAlign w:val="center"/>
          </w:tcPr>
          <w:p>
            <w:pPr>
              <w:spacing w:line="360" w:lineRule="auto"/>
              <w:jc w:val="center"/>
              <w:rPr>
                <w:color w:val="auto"/>
                <w:sz w:val="24"/>
                <w:szCs w:val="24"/>
              </w:rPr>
            </w:pPr>
          </w:p>
        </w:tc>
        <w:tc>
          <w:tcPr>
            <w:tcW w:w="0" w:type="auto"/>
            <w:vMerge w:val="continue"/>
            <w:tcBorders>
              <w:top w:val="nil"/>
              <w:left w:val="nil"/>
              <w:bottom w:val="single" w:color="000000" w:sz="4" w:space="0"/>
              <w:right w:val="single" w:color="000000" w:sz="4" w:space="0"/>
            </w:tcBorders>
            <w:shd w:val="clear" w:color="FFFFFF"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小计</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0" w:type="auto"/>
            <w:tcBorders>
              <w:top w:val="nil"/>
              <w:left w:val="single" w:color="000000" w:sz="4" w:space="0"/>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0" w:type="auto"/>
            <w:tcBorders>
              <w:top w:val="nil"/>
              <w:left w:val="nil"/>
              <w:bottom w:val="single" w:color="000000" w:sz="4" w:space="0"/>
              <w:right w:val="single" w:color="000000" w:sz="4" w:space="0"/>
            </w:tcBorders>
            <w:shd w:val="clear" w:color="FFFFFF"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1.06</w:t>
            </w: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0" w:type="auto"/>
            <w:gridSpan w:val="12"/>
            <w:tcBorders>
              <w:top w:val="nil"/>
              <w:left w:val="nil"/>
              <w:bottom w:val="nil"/>
              <w:right w:val="nil"/>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center"/>
        <w:rPr>
          <w:rFonts w:hint="eastAsia" w:ascii="方正小标宋简体" w:hAnsi="宋体" w:eastAsia="方正小标宋简体" w:cs="宋体"/>
          <w:color w:val="auto"/>
          <w:kern w:val="0"/>
          <w:sz w:val="36"/>
          <w:szCs w:val="36"/>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tbl>
      <w:tblPr>
        <w:tblStyle w:val="4"/>
        <w:tblpPr w:leftFromText="180" w:rightFromText="180" w:vertAnchor="text" w:horzAnchor="page" w:tblpXSpec="center" w:tblpY="327"/>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6"/>
        <w:gridCol w:w="339"/>
        <w:gridCol w:w="339"/>
        <w:gridCol w:w="1456"/>
        <w:gridCol w:w="1456"/>
        <w:gridCol w:w="1035"/>
        <w:gridCol w:w="753"/>
        <w:gridCol w:w="1035"/>
        <w:gridCol w:w="1035"/>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表八：</w:t>
            </w:r>
            <w:r>
              <w:rPr>
                <w:rFonts w:hint="eastAsia" w:ascii="宋体" w:hAnsi="宋体" w:eastAsia="宋体" w:cs="宋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0" w:type="auto"/>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本年收入</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本年支出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项目支出</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nil"/>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注：本表反映部门本年度政府性基金预算财政拨款收入、支出及结转和结余情况。</w:t>
            </w:r>
            <w:r>
              <w:rPr>
                <w:rFonts w:hint="eastAsia" w:ascii="宋体" w:hAnsi="宋体" w:cs="宋体"/>
                <w:i w:val="0"/>
                <w:iCs w:val="0"/>
                <w:color w:val="auto"/>
                <w:kern w:val="0"/>
                <w:sz w:val="24"/>
                <w:szCs w:val="24"/>
                <w:u w:val="none"/>
                <w:lang w:val="en-US" w:eastAsia="zh-CN" w:bidi="ar"/>
              </w:rPr>
              <w:t>我部门本年度无政府性基金预算拨款收入，也没有政府性基金预算财政拨款安排的支出，故本表无数据。</w:t>
            </w:r>
          </w:p>
        </w:tc>
      </w:tr>
    </w:tbl>
    <w:p>
      <w:pPr>
        <w:bidi w:val="0"/>
        <w:rPr>
          <w:rFonts w:hint="eastAsia"/>
          <w:color w:val="auto"/>
          <w:lang w:val="en-US" w:eastAsia="zh-CN"/>
        </w:rPr>
      </w:pPr>
    </w:p>
    <w:p>
      <w:pPr>
        <w:bidi w:val="0"/>
        <w:rPr>
          <w:rFonts w:hint="eastAsia"/>
          <w:color w:val="auto"/>
          <w:lang w:val="en-US" w:eastAsia="zh-CN"/>
        </w:rPr>
      </w:pPr>
    </w:p>
    <w:p>
      <w:pPr>
        <w:tabs>
          <w:tab w:val="left" w:pos="1691"/>
        </w:tabs>
        <w:bidi w:val="0"/>
        <w:jc w:val="left"/>
        <w:rPr>
          <w:rFonts w:hint="eastAsia"/>
          <w:color w:val="auto"/>
          <w:lang w:val="en-US" w:eastAsia="zh-CN"/>
        </w:rPr>
      </w:pPr>
    </w:p>
    <w:p>
      <w:pPr>
        <w:tabs>
          <w:tab w:val="left" w:pos="1691"/>
        </w:tabs>
        <w:bidi w:val="0"/>
        <w:jc w:val="left"/>
        <w:rPr>
          <w:rFonts w:hint="eastAsia"/>
          <w:color w:val="auto"/>
          <w:lang w:val="en-US" w:eastAsia="zh-CN"/>
        </w:rPr>
      </w:pPr>
    </w:p>
    <w:tbl>
      <w:tblPr>
        <w:tblStyle w:val="4"/>
        <w:tblpPr w:leftFromText="180" w:rightFromText="180" w:vertAnchor="text" w:horzAnchor="page" w:tblpX="3429" w:tblpY="167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096"/>
        <w:gridCol w:w="656"/>
        <w:gridCol w:w="1096"/>
        <w:gridCol w:w="4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0509" w:type="dxa"/>
            <w:gridSpan w:val="7"/>
            <w:tcBorders>
              <w:top w:val="nil"/>
              <w:left w:val="nil"/>
              <w:bottom w:val="nil"/>
              <w:right w:val="nil"/>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30"/>
                <w:szCs w:val="30"/>
                <w:u w:val="none"/>
                <w:lang w:val="en-US" w:eastAsia="zh-CN" w:bidi="ar"/>
              </w:rPr>
              <w:t>表九：</w:t>
            </w:r>
            <w:r>
              <w:rPr>
                <w:rFonts w:hint="eastAsia" w:ascii="宋体" w:hAnsi="宋体" w:eastAsia="宋体" w:cs="宋体"/>
                <w:i w:val="0"/>
                <w:iCs w:val="0"/>
                <w:color w:val="auto"/>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0509" w:type="dxa"/>
            <w:gridSpan w:val="7"/>
            <w:tcBorders>
              <w:top w:val="nil"/>
              <w:left w:val="nil"/>
              <w:bottom w:val="nil"/>
              <w:right w:val="nil"/>
            </w:tcBorders>
            <w:shd w:val="clear" w:color="auto" w:fill="auto"/>
            <w:noWrap/>
            <w:vAlign w:val="bottom"/>
          </w:tcPr>
          <w:p>
            <w:pPr>
              <w:keepNext w:val="0"/>
              <w:keepLines w:val="0"/>
              <w:widowControl/>
              <w:suppressLineNumbers w:val="0"/>
              <w:spacing w:line="360" w:lineRule="auto"/>
              <w:jc w:val="both"/>
              <w:textAlignment w:val="bottom"/>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616" w:type="dxa"/>
            <w:tcBorders>
              <w:top w:val="nil"/>
              <w:left w:val="nil"/>
              <w:bottom w:val="nil"/>
              <w:right w:val="nil"/>
            </w:tcBorders>
            <w:shd w:val="clear" w:color="auto" w:fill="auto"/>
            <w:noWrap/>
            <w:vAlign w:val="bottom"/>
          </w:tcPr>
          <w:p>
            <w:pPr>
              <w:spacing w:line="360" w:lineRule="auto"/>
              <w:rPr>
                <w:rFonts w:hint="eastAsia" w:ascii="Arial" w:hAnsi="Arial" w:cs="Arial"/>
                <w:i w:val="0"/>
                <w:iCs w:val="0"/>
                <w:color w:val="auto"/>
                <w:sz w:val="24"/>
                <w:szCs w:val="24"/>
                <w:u w:val="none"/>
              </w:rPr>
            </w:pPr>
          </w:p>
        </w:tc>
        <w:tc>
          <w:tcPr>
            <w:tcW w:w="222" w:type="dxa"/>
            <w:tcBorders>
              <w:top w:val="nil"/>
              <w:left w:val="nil"/>
              <w:bottom w:val="nil"/>
              <w:right w:val="nil"/>
            </w:tcBorders>
            <w:shd w:val="clear" w:color="auto" w:fill="auto"/>
            <w:noWrap/>
            <w:vAlign w:val="bottom"/>
          </w:tcPr>
          <w:p>
            <w:pPr>
              <w:spacing w:line="360" w:lineRule="auto"/>
              <w:rPr>
                <w:color w:val="auto"/>
                <w:sz w:val="24"/>
                <w:szCs w:val="24"/>
              </w:rPr>
            </w:pPr>
          </w:p>
        </w:tc>
        <w:tc>
          <w:tcPr>
            <w:tcW w:w="222" w:type="dxa"/>
            <w:tcBorders>
              <w:top w:val="nil"/>
              <w:left w:val="nil"/>
              <w:bottom w:val="nil"/>
              <w:right w:val="nil"/>
            </w:tcBorders>
            <w:shd w:val="clear" w:color="auto" w:fill="auto"/>
            <w:noWrap/>
            <w:vAlign w:val="bottom"/>
          </w:tcPr>
          <w:p>
            <w:pPr>
              <w:spacing w:line="360" w:lineRule="auto"/>
              <w:rPr>
                <w:color w:val="auto"/>
                <w:sz w:val="24"/>
                <w:szCs w:val="24"/>
              </w:rPr>
            </w:pPr>
          </w:p>
        </w:tc>
        <w:tc>
          <w:tcPr>
            <w:tcW w:w="1096" w:type="dxa"/>
            <w:tcBorders>
              <w:top w:val="nil"/>
              <w:left w:val="nil"/>
              <w:bottom w:val="nil"/>
              <w:right w:val="nil"/>
            </w:tcBorders>
            <w:shd w:val="clear" w:color="auto" w:fill="auto"/>
            <w:noWrap/>
            <w:vAlign w:val="bottom"/>
          </w:tcPr>
          <w:p>
            <w:pPr>
              <w:spacing w:line="360" w:lineRule="auto"/>
              <w:rPr>
                <w:color w:val="auto"/>
                <w:sz w:val="24"/>
                <w:szCs w:val="24"/>
              </w:rPr>
            </w:pPr>
          </w:p>
        </w:tc>
        <w:tc>
          <w:tcPr>
            <w:tcW w:w="656" w:type="dxa"/>
            <w:tcBorders>
              <w:top w:val="nil"/>
              <w:left w:val="nil"/>
              <w:bottom w:val="nil"/>
              <w:right w:val="nil"/>
            </w:tcBorders>
            <w:shd w:val="clear" w:color="auto" w:fill="auto"/>
            <w:noWrap/>
            <w:vAlign w:val="bottom"/>
          </w:tcPr>
          <w:p>
            <w:pPr>
              <w:spacing w:line="360" w:lineRule="auto"/>
              <w:rPr>
                <w:color w:val="auto"/>
                <w:sz w:val="24"/>
                <w:szCs w:val="24"/>
              </w:rPr>
            </w:pPr>
          </w:p>
        </w:tc>
        <w:tc>
          <w:tcPr>
            <w:tcW w:w="1096"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4601" w:type="dxa"/>
            <w:vMerge w:val="restart"/>
            <w:tcBorders>
              <w:top w:val="nil"/>
              <w:left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公开09表</w:t>
            </w:r>
          </w:p>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156" w:type="dxa"/>
            <w:gridSpan w:val="4"/>
            <w:tcBorders>
              <w:top w:val="nil"/>
              <w:left w:val="nil"/>
              <w:bottom w:val="nil"/>
              <w:right w:val="nil"/>
            </w:tcBorders>
            <w:shd w:val="clear" w:color="auto" w:fill="auto"/>
            <w:noWrap/>
            <w:vAlign w:val="bottom"/>
          </w:tcPr>
          <w:p>
            <w:pPr>
              <w:spacing w:line="360" w:lineRule="auto"/>
              <w:rPr>
                <w:color w:val="auto"/>
                <w:sz w:val="24"/>
                <w:szCs w:val="24"/>
              </w:rPr>
            </w:pPr>
            <w:r>
              <w:rPr>
                <w:rFonts w:hint="eastAsia" w:ascii="宋体" w:hAnsi="宋体" w:eastAsia="宋体" w:cs="宋体"/>
                <w:i w:val="0"/>
                <w:iCs w:val="0"/>
                <w:color w:val="auto"/>
                <w:kern w:val="0"/>
                <w:sz w:val="24"/>
                <w:szCs w:val="24"/>
                <w:u w:val="none"/>
                <w:lang w:val="en-US" w:eastAsia="zh-CN" w:bidi="ar"/>
              </w:rPr>
              <w:t>部门：柳州市残疾人联合会</w:t>
            </w:r>
          </w:p>
        </w:tc>
        <w:tc>
          <w:tcPr>
            <w:tcW w:w="656" w:type="dxa"/>
            <w:tcBorders>
              <w:top w:val="nil"/>
              <w:left w:val="nil"/>
              <w:bottom w:val="nil"/>
              <w:right w:val="nil"/>
            </w:tcBorders>
            <w:shd w:val="clear" w:color="auto" w:fill="auto"/>
            <w:noWrap/>
            <w:vAlign w:val="bottom"/>
          </w:tcPr>
          <w:p>
            <w:pPr>
              <w:spacing w:line="360" w:lineRule="auto"/>
              <w:rPr>
                <w:color w:val="auto"/>
                <w:sz w:val="24"/>
                <w:szCs w:val="24"/>
              </w:rPr>
            </w:pPr>
          </w:p>
        </w:tc>
        <w:tc>
          <w:tcPr>
            <w:tcW w:w="1096" w:type="dxa"/>
            <w:tcBorders>
              <w:top w:val="nil"/>
              <w:left w:val="nil"/>
              <w:bottom w:val="nil"/>
              <w:right w:val="nil"/>
            </w:tcBorders>
            <w:shd w:val="clear" w:color="auto" w:fill="auto"/>
            <w:noWrap/>
            <w:vAlign w:val="bottom"/>
          </w:tcPr>
          <w:p>
            <w:pPr>
              <w:spacing w:line="360" w:lineRule="auto"/>
              <w:rPr>
                <w:rFonts w:hint="default" w:ascii="Arial" w:hAnsi="Arial" w:cs="Arial"/>
                <w:i w:val="0"/>
                <w:iCs w:val="0"/>
                <w:color w:val="auto"/>
                <w:sz w:val="24"/>
                <w:szCs w:val="24"/>
                <w:u w:val="none"/>
              </w:rPr>
            </w:pPr>
          </w:p>
        </w:tc>
        <w:tc>
          <w:tcPr>
            <w:tcW w:w="4601" w:type="dxa"/>
            <w:vMerge w:val="continue"/>
            <w:tcBorders>
              <w:left w:val="nil"/>
              <w:bottom w:val="nil"/>
              <w:right w:val="nil"/>
            </w:tcBorders>
            <w:shd w:val="clear" w:color="auto" w:fill="auto"/>
            <w:noWrap/>
            <w:vAlign w:val="bottom"/>
          </w:tcPr>
          <w:p>
            <w:pPr>
              <w:keepNext w:val="0"/>
              <w:keepLines w:val="0"/>
              <w:widowControl/>
              <w:suppressLineNumbers w:val="0"/>
              <w:spacing w:line="360" w:lineRule="auto"/>
              <w:jc w:val="right"/>
              <w:textAlignment w:val="bottom"/>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06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功能分类科目编码</w:t>
            </w:r>
          </w:p>
        </w:tc>
        <w:tc>
          <w:tcPr>
            <w:tcW w:w="10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科目名称</w:t>
            </w:r>
          </w:p>
        </w:tc>
        <w:tc>
          <w:tcPr>
            <w:tcW w:w="6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合计</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基本支出</w:t>
            </w:r>
          </w:p>
        </w:tc>
        <w:tc>
          <w:tcPr>
            <w:tcW w:w="4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15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栏次</w:t>
            </w:r>
          </w:p>
        </w:tc>
        <w:tc>
          <w:tcPr>
            <w:tcW w:w="6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6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15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656" w:type="dxa"/>
            <w:tcBorders>
              <w:top w:val="nil"/>
              <w:left w:val="single" w:color="000000" w:sz="4" w:space="0"/>
              <w:bottom w:val="single" w:color="000000" w:sz="4" w:space="0"/>
              <w:right w:val="single" w:color="000000" w:sz="4" w:space="0"/>
            </w:tcBorders>
            <w:shd w:val="clear" w:color="auto" w:fill="auto"/>
            <w:vAlign w:val="center"/>
          </w:tcPr>
          <w:p>
            <w:pPr>
              <w:spacing w:line="360" w:lineRule="auto"/>
              <w:jc w:val="right"/>
              <w:rPr>
                <w:color w:val="auto"/>
                <w:sz w:val="24"/>
                <w:szCs w:val="24"/>
              </w:rPr>
            </w:pPr>
          </w:p>
        </w:tc>
        <w:tc>
          <w:tcPr>
            <w:tcW w:w="1096"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c>
          <w:tcPr>
            <w:tcW w:w="4601" w:type="dxa"/>
            <w:tcBorders>
              <w:top w:val="nil"/>
              <w:left w:val="nil"/>
              <w:bottom w:val="single" w:color="000000" w:sz="4" w:space="0"/>
              <w:right w:val="single" w:color="000000" w:sz="4" w:space="0"/>
            </w:tcBorders>
            <w:shd w:val="clear" w:color="auto" w:fill="auto"/>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65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4601"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eastAsia="宋体" w:cs="宋体"/>
                <w:i w:val="0"/>
                <w:iCs w:val="0"/>
                <w:color w:val="auto"/>
                <w:sz w:val="24"/>
                <w:szCs w:val="24"/>
                <w:u w:val="none"/>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left"/>
              <w:rPr>
                <w:color w:val="auto"/>
                <w:sz w:val="24"/>
                <w:szCs w:val="24"/>
              </w:rPr>
            </w:pPr>
          </w:p>
        </w:tc>
        <w:tc>
          <w:tcPr>
            <w:tcW w:w="65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auto"/>
              <w:jc w:val="right"/>
              <w:rPr>
                <w:color w:val="auto"/>
                <w:sz w:val="24"/>
                <w:szCs w:val="24"/>
              </w:rPr>
            </w:pPr>
          </w:p>
        </w:tc>
        <w:tc>
          <w:tcPr>
            <w:tcW w:w="4601" w:type="dxa"/>
            <w:tcBorders>
              <w:top w:val="nil"/>
              <w:left w:val="nil"/>
              <w:bottom w:val="single" w:color="000000" w:sz="4" w:space="0"/>
              <w:right w:val="single" w:color="000000" w:sz="4" w:space="0"/>
            </w:tcBorders>
            <w:shd w:val="clear" w:color="auto" w:fill="auto"/>
            <w:noWrap/>
            <w:vAlign w:val="center"/>
          </w:tcPr>
          <w:p>
            <w:pPr>
              <w:spacing w:line="360" w:lineRule="auto"/>
              <w:jc w:val="righ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0509"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注：本表反映部门本年度国有资本经营预算财政拨款支出情况。我部门本年度国有资本经营预算财政拨款收入，也没有国有资本经营预算财政拨款安排的支出，故本表无数据</w:t>
            </w:r>
          </w:p>
        </w:tc>
      </w:tr>
    </w:tbl>
    <w:p>
      <w:pPr>
        <w:tabs>
          <w:tab w:val="left" w:pos="13286"/>
        </w:tabs>
        <w:bidi w:val="0"/>
        <w:rPr>
          <w:rFonts w:hint="eastAsia"/>
          <w:color w:val="auto"/>
          <w:lang w:val="en-US" w:eastAsia="zh-CN"/>
        </w:rPr>
        <w:sectPr>
          <w:pgSz w:w="16838" w:h="11906" w:orient="landscape"/>
          <w:pgMar w:top="986" w:right="1800" w:bottom="1213"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none"/>
          <w:lang w:eastAsia="zh-CN"/>
        </w:rPr>
        <w:t>柳州市残疾人联合会</w:t>
      </w:r>
      <w:r>
        <w:rPr>
          <w:rFonts w:hint="eastAsia" w:ascii="仿宋_GB2312" w:eastAsia="仿宋_GB2312"/>
          <w:b/>
          <w:color w:val="auto"/>
          <w:sz w:val="32"/>
          <w:szCs w:val="32"/>
          <w:u w:val="none"/>
          <w:lang w:eastAsia="zh-CN"/>
        </w:rPr>
        <w:t>2</w:t>
      </w:r>
      <w:r>
        <w:rPr>
          <w:rFonts w:hint="eastAsia" w:ascii="仿宋_GB2312" w:eastAsia="仿宋_GB2312"/>
          <w:b/>
          <w:color w:val="auto"/>
          <w:sz w:val="32"/>
          <w:szCs w:val="32"/>
          <w:lang w:eastAsia="zh-CN"/>
        </w:rPr>
        <w:t>021</w:t>
      </w:r>
      <w:r>
        <w:rPr>
          <w:rFonts w:hint="eastAsia" w:ascii="仿宋_GB2312" w:eastAsia="仿宋_GB2312"/>
          <w:b/>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lang w:val="en-US" w:eastAsia="zh-CN"/>
        </w:rPr>
        <w:t>4309.56</w:t>
      </w:r>
      <w:r>
        <w:rPr>
          <w:rFonts w:hint="eastAsia" w:ascii="仿宋_GB2312" w:eastAsia="仿宋_GB2312" w:cs="仿宋_GB2312"/>
          <w:color w:val="auto"/>
          <w:kern w:val="0"/>
          <w:sz w:val="32"/>
          <w:szCs w:val="32"/>
        </w:rPr>
        <w:t>万元，其中本年收入</w:t>
      </w:r>
      <w:r>
        <w:rPr>
          <w:rFonts w:hint="eastAsia" w:ascii="仿宋_GB2312" w:eastAsia="仿宋_GB2312" w:cs="仿宋_GB2312"/>
          <w:color w:val="auto"/>
          <w:kern w:val="0"/>
          <w:sz w:val="32"/>
          <w:szCs w:val="32"/>
          <w:lang w:val="en-US" w:eastAsia="zh-CN"/>
        </w:rPr>
        <w:t>3583.83</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725.73</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14.77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lang w:val="en-US" w:eastAsia="zh-CN"/>
        </w:rPr>
        <w:t>3539.33</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年度决算减少</w:t>
      </w:r>
      <w:r>
        <w:rPr>
          <w:rFonts w:hint="eastAsia" w:ascii="仿宋_GB2312" w:hAnsi="黑体" w:eastAsia="仿宋_GB2312" w:cs="仿宋_GB2312"/>
          <w:color w:val="auto"/>
          <w:kern w:val="0"/>
          <w:sz w:val="32"/>
          <w:szCs w:val="32"/>
          <w:lang w:val="en-US" w:eastAsia="zh-CN"/>
        </w:rPr>
        <w:t>120.52</w:t>
      </w:r>
      <w:r>
        <w:rPr>
          <w:rFonts w:hint="eastAsia" w:ascii="仿宋_GB2312" w:hAnsi="黑体" w:eastAsia="仿宋_GB2312" w:cs="仿宋_GB2312"/>
          <w:color w:val="auto"/>
          <w:kern w:val="0"/>
          <w:sz w:val="32"/>
          <w:szCs w:val="32"/>
        </w:rPr>
        <w:t>万元，增长下降</w:t>
      </w:r>
      <w:r>
        <w:rPr>
          <w:rFonts w:hint="eastAsia" w:ascii="仿宋_GB2312" w:hAnsi="黑体" w:eastAsia="仿宋_GB2312" w:cs="仿宋_GB2312"/>
          <w:color w:val="auto"/>
          <w:kern w:val="0"/>
          <w:sz w:val="32"/>
          <w:szCs w:val="32"/>
          <w:lang w:val="en-US" w:eastAsia="zh-CN"/>
        </w:rPr>
        <w:t>3.53</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2022年年度预算同比去年减少。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68.8</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：本年未收到政府性基金预算财政拨款收入。</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持平。</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lang w:val="en-US" w:eastAsia="zh-CN"/>
        </w:rPr>
        <w:t>15.89</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201.88</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92.70</w:t>
      </w:r>
      <w:r>
        <w:rPr>
          <w:rFonts w:hint="eastAsia" w:ascii="仿宋_GB2312" w:hAnsi="黑体" w:eastAsia="仿宋_GB2312" w:cs="仿宋_GB2312"/>
          <w:color w:val="auto"/>
          <w:kern w:val="0"/>
          <w:sz w:val="32"/>
          <w:szCs w:val="32"/>
        </w:rPr>
        <w:t>%，主要原因</w:t>
      </w:r>
      <w:r>
        <w:rPr>
          <w:rFonts w:hint="eastAsia" w:ascii="仿宋_GB2312" w:hAnsi="黑体" w:eastAsia="仿宋_GB2312" w:cs="仿宋_GB2312"/>
          <w:color w:val="auto"/>
          <w:kern w:val="0"/>
          <w:sz w:val="32"/>
          <w:szCs w:val="32"/>
          <w:lang w:eastAsia="zh-CN"/>
        </w:rPr>
        <w:t>为：</w:t>
      </w:r>
      <w:r>
        <w:rPr>
          <w:rFonts w:hint="eastAsia" w:ascii="仿宋_GB2312" w:eastAsia="仿宋_GB2312" w:cs="仿宋_GB2312"/>
          <w:color w:val="auto"/>
          <w:kern w:val="0"/>
          <w:sz w:val="32"/>
          <w:szCs w:val="32"/>
        </w:rPr>
        <w:t>记账方式改变导致，原收到各级残联经费时记事业收入，改变为财政审批该经费用款申请，额度到达时记事业收入。2021年未向财政提出用款申请，导致账上事业收入减少。</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lang w:eastAsia="zh-CN"/>
        </w:rPr>
        <w:t>元</w:t>
      </w:r>
      <w:r>
        <w:rPr>
          <w:rFonts w:hint="eastAsia" w:ascii="仿宋_GB2312" w:eastAsia="仿宋_GB2312" w:cs="仿宋_GB2312"/>
          <w:color w:val="auto"/>
          <w:kern w:val="0"/>
          <w:sz w:val="32"/>
          <w:szCs w:val="32"/>
        </w:rPr>
        <w:t>，为事业单位在业务活动之外开展非独立核算经营活动取得的收入。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持平。</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lang w:val="en-US" w:eastAsia="zh-CN"/>
        </w:rPr>
        <w:t>28.62</w:t>
      </w:r>
      <w:r>
        <w:rPr>
          <w:rFonts w:hint="eastAsia" w:ascii="仿宋_GB2312" w:eastAsia="仿宋_GB2312" w:cs="仿宋_GB2312"/>
          <w:color w:val="auto"/>
          <w:kern w:val="0"/>
          <w:sz w:val="32"/>
          <w:szCs w:val="32"/>
        </w:rPr>
        <w:t>万元，为</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p>
    <w:p>
      <w:pPr>
        <w:autoSpaceDE w:val="0"/>
        <w:autoSpaceDN w:val="0"/>
        <w:adjustRightInd w:val="0"/>
        <w:spacing w:line="560" w:lineRule="exact"/>
        <w:jc w:val="left"/>
        <w:rPr>
          <w:rFonts w:hint="eastAsia" w:ascii="仿宋_GB2312" w:eastAsia="仿宋_GB2312" w:cs="仿宋_GB2312"/>
          <w:color w:val="auto"/>
          <w:kern w:val="0"/>
          <w:sz w:val="32"/>
          <w:szCs w:val="32"/>
          <w:lang w:eastAsia="zh-CN"/>
        </w:rPr>
      </w:pP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18.49</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增长</w:t>
      </w:r>
      <w:r>
        <w:rPr>
          <w:rFonts w:hint="eastAsia" w:ascii="仿宋_GB2312" w:hAnsi="黑体" w:eastAsia="仿宋_GB2312" w:cs="仿宋_GB2312"/>
          <w:color w:val="auto"/>
          <w:kern w:val="0"/>
          <w:sz w:val="32"/>
          <w:szCs w:val="32"/>
          <w:lang w:val="en-US" w:eastAsia="zh-CN"/>
        </w:rPr>
        <w:t>64.61</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：一是卫生健康委央补社会心理服务系统建设经费</w:t>
      </w:r>
      <w:r>
        <w:rPr>
          <w:rFonts w:hint="eastAsia" w:ascii="仿宋_GB2312" w:hAnsi="黑体" w:eastAsia="仿宋_GB2312" w:cs="仿宋_GB2312"/>
          <w:color w:val="auto"/>
          <w:kern w:val="0"/>
          <w:sz w:val="32"/>
          <w:szCs w:val="32"/>
          <w:lang w:val="en-US" w:eastAsia="zh-CN"/>
        </w:rPr>
        <w:t>10万元；二是公益性岗位工资社保5万。</w:t>
      </w:r>
    </w:p>
    <w:p>
      <w:pPr>
        <w:numPr>
          <w:ilvl w:val="0"/>
          <w:numId w:val="0"/>
        </w:numPr>
        <w:autoSpaceDE w:val="0"/>
        <w:autoSpaceDN w:val="0"/>
        <w:adjustRightInd w:val="0"/>
        <w:spacing w:line="560" w:lineRule="exact"/>
        <w:ind w:firstLine="640" w:firstLineChars="200"/>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2.24</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2.24</w:t>
      </w:r>
      <w:r>
        <w:rPr>
          <w:rFonts w:hint="eastAsia" w:ascii="仿宋_GB2312" w:hAnsi="黑体" w:eastAsia="仿宋_GB2312" w:cs="仿宋_GB2312"/>
          <w:color w:val="auto"/>
          <w:kern w:val="0"/>
          <w:sz w:val="32"/>
          <w:szCs w:val="32"/>
        </w:rPr>
        <w:t>万元，</w:t>
      </w:r>
      <w:r>
        <w:rPr>
          <w:rFonts w:hint="eastAsia" w:ascii="仿宋_GB2312" w:eastAsia="仿宋_GB2312" w:cs="仿宋_GB2312"/>
          <w:color w:val="auto"/>
          <w:kern w:val="0"/>
          <w:sz w:val="32"/>
          <w:szCs w:val="32"/>
        </w:rPr>
        <w:t>主要原因是</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2021年公益岗人员工资部分从上年度该项非财结余经费开支。</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723.48</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217.05</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30</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：上年结转结余数相较以前年度有所减少。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年度总支出</w:t>
      </w:r>
      <w:r>
        <w:rPr>
          <w:rFonts w:hint="eastAsia" w:ascii="仿宋_GB2312" w:eastAsia="仿宋_GB2312"/>
          <w:color w:val="auto"/>
          <w:kern w:val="0"/>
          <w:sz w:val="32"/>
          <w:szCs w:val="32"/>
          <w:lang w:val="en-US" w:eastAsia="zh-CN"/>
        </w:rPr>
        <w:t>4309.56</w:t>
      </w:r>
      <w:r>
        <w:rPr>
          <w:rFonts w:hint="eastAsia" w:ascii="仿宋_GB2312" w:eastAsia="仿宋_GB2312" w:cs="仿宋_GB2312"/>
          <w:color w:val="auto"/>
          <w:kern w:val="0"/>
          <w:sz w:val="32"/>
          <w:szCs w:val="32"/>
        </w:rPr>
        <w:t>万元，其中本年支出</w:t>
      </w:r>
      <w:r>
        <w:rPr>
          <w:rFonts w:hint="eastAsia" w:ascii="仿宋_GB2312" w:eastAsia="仿宋_GB2312" w:cs="仿宋_GB2312"/>
          <w:color w:val="auto"/>
          <w:kern w:val="0"/>
          <w:sz w:val="32"/>
          <w:szCs w:val="32"/>
          <w:lang w:val="en-US" w:eastAsia="zh-CN"/>
        </w:rPr>
        <w:t>4019.52</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605.49</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12.32</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社会保障和就业支出</w:t>
      </w:r>
      <w:r>
        <w:rPr>
          <w:rFonts w:hint="eastAsia" w:ascii="仿宋_GB2312" w:eastAsia="仿宋_GB2312" w:cs="仿宋_GB2312"/>
          <w:color w:val="auto"/>
          <w:kern w:val="0"/>
          <w:sz w:val="32"/>
          <w:szCs w:val="32"/>
        </w:rPr>
        <w:t>类</w:t>
      </w:r>
      <w:r>
        <w:rPr>
          <w:rFonts w:hint="eastAsia" w:ascii="仿宋_GB2312" w:eastAsia="仿宋_GB2312"/>
          <w:color w:val="auto"/>
          <w:kern w:val="0"/>
          <w:sz w:val="32"/>
          <w:szCs w:val="32"/>
          <w:lang w:val="en-US" w:eastAsia="zh-CN"/>
        </w:rPr>
        <w:t>3932.56</w:t>
      </w:r>
      <w:r>
        <w:rPr>
          <w:rFonts w:hint="eastAsia" w:ascii="仿宋_GB2312" w:eastAsia="仿宋_GB2312" w:cs="仿宋_GB2312"/>
          <w:color w:val="auto"/>
          <w:kern w:val="0"/>
          <w:sz w:val="32"/>
          <w:szCs w:val="32"/>
        </w:rPr>
        <w:t>万元：主要用于</w:t>
      </w:r>
      <w:r>
        <w:rPr>
          <w:rFonts w:hint="eastAsia" w:ascii="仿宋_GB2312" w:eastAsia="仿宋_GB2312" w:cs="仿宋_GB2312"/>
          <w:color w:val="auto"/>
          <w:kern w:val="0"/>
          <w:sz w:val="32"/>
          <w:szCs w:val="32"/>
          <w:lang w:eastAsia="zh-CN"/>
        </w:rPr>
        <w:t>行政事业单位养老支出、残疾人事业和其他社会保障和就业支出。</w:t>
      </w:r>
    </w:p>
    <w:p>
      <w:pPr>
        <w:autoSpaceDE w:val="0"/>
        <w:autoSpaceDN w:val="0"/>
        <w:adjustRightInd w:val="0"/>
        <w:spacing w:line="560" w:lineRule="exact"/>
        <w:ind w:firstLine="0" w:firstLineChars="0"/>
        <w:jc w:val="left"/>
        <w:rPr>
          <w:rFonts w:hint="eastAsia" w:ascii="仿宋_GB2312" w:hAnsi="黑体" w:eastAsia="仿宋_GB2312" w:cs="仿宋_GB2312"/>
          <w:color w:val="auto"/>
          <w:kern w:val="0"/>
          <w:sz w:val="32"/>
          <w:szCs w:val="32"/>
          <w:lang w:eastAsia="zh-CN"/>
        </w:rPr>
      </w:pP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605.49</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12.32</w:t>
      </w:r>
      <w:r>
        <w:rPr>
          <w:rFonts w:hint="eastAsia" w:ascii="仿宋_GB2312" w:hAnsi="黑体" w:eastAsia="仿宋_GB2312" w:cs="仿宋_GB2312"/>
          <w:color w:val="auto"/>
          <w:kern w:val="0"/>
          <w:sz w:val="32"/>
          <w:szCs w:val="32"/>
        </w:rPr>
        <w:t xml:space="preserve"> %，主要原因是</w:t>
      </w:r>
      <w:r>
        <w:rPr>
          <w:rFonts w:hint="eastAsia" w:ascii="仿宋_GB2312" w:hAnsi="黑体" w:eastAsia="仿宋_GB2312" w:cs="仿宋_GB2312"/>
          <w:color w:val="auto"/>
          <w:kern w:val="0"/>
          <w:sz w:val="32"/>
          <w:szCs w:val="32"/>
          <w:lang w:eastAsia="zh-CN"/>
        </w:rPr>
        <w:t>：</w:t>
      </w: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lang w:val="en-US" w:eastAsia="zh-CN"/>
        </w:rPr>
        <w:t>2.卫生健康类37.12万元：主要用于行政运行、残疾人康复、残疾人就业和扶贫、残疾人体育</w:t>
      </w:r>
      <w:r>
        <w:rPr>
          <w:rFonts w:hint="eastAsia" w:ascii="仿宋_GB2312" w:eastAsia="仿宋_GB2312" w:cs="仿宋_GB2312"/>
          <w:color w:val="auto"/>
          <w:kern w:val="0"/>
          <w:sz w:val="32"/>
          <w:szCs w:val="32"/>
          <w:lang w:eastAsia="zh-CN"/>
        </w:rPr>
        <w:t>和其他残疾人事业支出。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11.39</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23.48</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：缴纳基数下降。</w:t>
      </w: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lang w:val="en-US" w:eastAsia="zh-CN"/>
        </w:rPr>
        <w:t>3.住房保障支出类49.83万元：主要用于职工住房公积金</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5.45</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12.28</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：单位在职人员增加。</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4.</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lang w:val="en-US" w:eastAsia="zh-CN"/>
        </w:rPr>
        <w:t>290.04</w:t>
      </w:r>
      <w:r>
        <w:rPr>
          <w:rFonts w:hint="eastAsia" w:ascii="仿宋_GB2312" w:eastAsia="仿宋_GB2312" w:cs="仿宋_GB2312"/>
          <w:color w:val="auto"/>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792.89</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73.2</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：财政收回年末结转结余。</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2021</w:t>
      </w:r>
      <w:r>
        <w:rPr>
          <w:rFonts w:hint="eastAsia" w:ascii="黑体" w:hAnsi="黑体" w:eastAsia="黑体"/>
          <w:color w:val="auto"/>
          <w:kern w:val="0"/>
          <w:sz w:val="32"/>
          <w:szCs w:val="32"/>
        </w:rPr>
        <w:t xml:space="preserve"> </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olor w:val="auto"/>
          <w:kern w:val="0"/>
          <w:sz w:val="32"/>
          <w:szCs w:val="32"/>
          <w:lang w:val="en-US" w:eastAsia="zh-CN"/>
        </w:rPr>
        <w:t>3741.57</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增加</w:t>
      </w:r>
      <w:r>
        <w:rPr>
          <w:rFonts w:hint="eastAsia" w:ascii="仿宋_GB2312" w:hAnsi="黑体" w:eastAsia="仿宋_GB2312" w:cs="仿宋_GB2312"/>
          <w:color w:val="auto"/>
          <w:kern w:val="0"/>
          <w:sz w:val="32"/>
          <w:szCs w:val="32"/>
          <w:lang w:val="en-US" w:eastAsia="zh-CN"/>
        </w:rPr>
        <w:t>253.96</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增长</w:t>
      </w:r>
      <w:r>
        <w:rPr>
          <w:rFonts w:hint="eastAsia" w:ascii="仿宋_GB2312" w:hAnsi="黑体" w:eastAsia="仿宋_GB2312" w:cs="仿宋_GB2312"/>
          <w:color w:val="auto"/>
          <w:kern w:val="0"/>
          <w:sz w:val="32"/>
          <w:szCs w:val="32"/>
          <w:lang w:val="en-US" w:eastAsia="zh-CN"/>
        </w:rPr>
        <w:t>7.28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648.89</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3092.68</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olor w:val="auto"/>
          <w:kern w:val="0"/>
          <w:sz w:val="32"/>
          <w:szCs w:val="32"/>
        </w:rPr>
        <w:t xml:space="preserve"> </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5373.22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3741.57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69.63</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pPr>
        <w:spacing w:line="560" w:lineRule="exact"/>
        <w:ind w:firstLine="640" w:firstLineChars="200"/>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（一）</w:t>
      </w:r>
      <w:r>
        <w:rPr>
          <w:rFonts w:hint="eastAsia" w:ascii="仿宋_GB2312" w:eastAsia="仿宋_GB2312" w:cs="仿宋_GB2312"/>
          <w:bCs/>
          <w:color w:val="auto"/>
          <w:kern w:val="0"/>
          <w:sz w:val="32"/>
          <w:szCs w:val="32"/>
        </w:rPr>
        <w:t>社会保障和就业支出（类）行政事业单位离退休（款）归口管理的行政单位离退休（项）年初预算为</w:t>
      </w:r>
      <w:r>
        <w:rPr>
          <w:rFonts w:hint="eastAsia" w:ascii="仿宋_GB2312" w:eastAsia="仿宋_GB2312" w:cs="仿宋_GB2312"/>
          <w:bCs/>
          <w:color w:val="auto"/>
          <w:kern w:val="0"/>
          <w:sz w:val="32"/>
          <w:szCs w:val="32"/>
          <w:lang w:val="en-US" w:eastAsia="zh-CN"/>
        </w:rPr>
        <w:t>17.10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19.14</w:t>
      </w:r>
      <w:r>
        <w:rPr>
          <w:rFonts w:hint="eastAsia" w:ascii="仿宋_GB2312" w:eastAsia="仿宋_GB2312" w:cs="仿宋_GB2312"/>
          <w:bCs/>
          <w:color w:val="auto"/>
          <w:kern w:val="0"/>
          <w:sz w:val="32"/>
          <w:szCs w:val="32"/>
        </w:rPr>
        <w:t>万元，完成年初预算</w:t>
      </w:r>
      <w:r>
        <w:rPr>
          <w:rFonts w:hint="eastAsia" w:ascii="仿宋_GB2312" w:eastAsia="仿宋_GB2312" w:cs="仿宋_GB2312"/>
          <w:bCs/>
          <w:color w:val="auto"/>
          <w:kern w:val="0"/>
          <w:sz w:val="32"/>
          <w:szCs w:val="32"/>
          <w:lang w:val="en-US" w:eastAsia="zh-CN"/>
        </w:rPr>
        <w:t>111.93</w:t>
      </w:r>
      <w:r>
        <w:rPr>
          <w:rFonts w:hint="eastAsia" w:ascii="仿宋_GB2312" w:eastAsia="仿宋_GB2312" w:cs="仿宋_GB2312"/>
          <w:bCs/>
          <w:color w:val="auto"/>
          <w:kern w:val="0"/>
          <w:sz w:val="32"/>
          <w:szCs w:val="32"/>
        </w:rPr>
        <w:t>%。</w:t>
      </w:r>
    </w:p>
    <w:p>
      <w:pPr>
        <w:spacing w:line="560" w:lineRule="exact"/>
        <w:ind w:firstLine="640" w:firstLineChars="200"/>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（二）</w:t>
      </w:r>
      <w:r>
        <w:rPr>
          <w:rFonts w:hint="eastAsia" w:ascii="仿宋_GB2312" w:eastAsia="仿宋_GB2312" w:cs="仿宋_GB2312"/>
          <w:bCs/>
          <w:color w:val="auto"/>
          <w:kern w:val="0"/>
          <w:sz w:val="32"/>
          <w:szCs w:val="32"/>
        </w:rPr>
        <w:t>社会保障和就业支出（类）行政事业单位离退休（款）事业单位离退休（项）年初预算为</w:t>
      </w:r>
      <w:r>
        <w:rPr>
          <w:rFonts w:hint="eastAsia" w:ascii="仿宋_GB2312" w:eastAsia="仿宋_GB2312" w:cs="仿宋_GB2312"/>
          <w:bCs/>
          <w:color w:val="auto"/>
          <w:kern w:val="0"/>
          <w:sz w:val="32"/>
          <w:szCs w:val="32"/>
          <w:lang w:val="en-US" w:eastAsia="zh-CN"/>
        </w:rPr>
        <w:t>2.08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2.41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完成年初预算</w:t>
      </w:r>
      <w:r>
        <w:rPr>
          <w:rFonts w:hint="eastAsia" w:ascii="仿宋_GB2312" w:eastAsia="仿宋_GB2312" w:cs="仿宋_GB2312"/>
          <w:bCs/>
          <w:color w:val="auto"/>
          <w:kern w:val="0"/>
          <w:sz w:val="32"/>
          <w:szCs w:val="32"/>
          <w:lang w:val="en-US" w:eastAsia="zh-CN"/>
        </w:rPr>
        <w:t>115.87</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eastAsia="zh-CN"/>
        </w:rPr>
        <w:t>事业单位增人增资。</w:t>
      </w:r>
    </w:p>
    <w:p>
      <w:pPr>
        <w:spacing w:line="560" w:lineRule="exact"/>
        <w:ind w:firstLine="640" w:firstLineChars="200"/>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（三）</w:t>
      </w:r>
      <w:r>
        <w:rPr>
          <w:rFonts w:hint="eastAsia" w:ascii="仿宋_GB2312" w:eastAsia="仿宋_GB2312" w:cs="仿宋_GB2312"/>
          <w:bCs/>
          <w:color w:val="auto"/>
          <w:kern w:val="0"/>
          <w:sz w:val="32"/>
          <w:szCs w:val="32"/>
        </w:rPr>
        <w:t>社会保障和就业支出（类）行政事业单位离退休（款）机关事业单位基本养老保险缴费支出（项）年初预算为</w:t>
      </w:r>
      <w:r>
        <w:rPr>
          <w:rFonts w:hint="eastAsia" w:ascii="仿宋_GB2312" w:eastAsia="仿宋_GB2312" w:cs="仿宋_GB2312"/>
          <w:bCs/>
          <w:color w:val="auto"/>
          <w:kern w:val="0"/>
          <w:sz w:val="32"/>
          <w:szCs w:val="32"/>
          <w:lang w:val="en-US" w:eastAsia="zh-CN"/>
        </w:rPr>
        <w:t>60.82</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47.86</w:t>
      </w:r>
      <w:r>
        <w:rPr>
          <w:rFonts w:hint="eastAsia" w:ascii="仿宋_GB2312" w:eastAsia="仿宋_GB2312" w:cs="仿宋_GB2312"/>
          <w:bCs/>
          <w:color w:val="auto"/>
          <w:kern w:val="0"/>
          <w:sz w:val="32"/>
          <w:szCs w:val="32"/>
        </w:rPr>
        <w:t>万元，完成年初预算</w:t>
      </w:r>
      <w:r>
        <w:rPr>
          <w:rFonts w:hint="eastAsia" w:ascii="仿宋_GB2312" w:eastAsia="仿宋_GB2312" w:cs="仿宋_GB2312"/>
          <w:bCs/>
          <w:color w:val="auto"/>
          <w:kern w:val="0"/>
          <w:sz w:val="32"/>
          <w:szCs w:val="32"/>
          <w:lang w:val="en-US" w:eastAsia="zh-CN"/>
        </w:rPr>
        <w:t>78.69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决算数小于预算数的主要原因是：</w:t>
      </w:r>
      <w:r>
        <w:rPr>
          <w:rFonts w:hint="eastAsia" w:ascii="仿宋_GB2312" w:eastAsia="仿宋_GB2312" w:cs="仿宋_GB2312"/>
          <w:bCs/>
          <w:color w:val="auto"/>
          <w:kern w:val="0"/>
          <w:sz w:val="32"/>
          <w:szCs w:val="32"/>
          <w:lang w:eastAsia="zh-CN"/>
        </w:rPr>
        <w:t>年中退休一人</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（四）</w:t>
      </w:r>
      <w:r>
        <w:rPr>
          <w:rFonts w:hint="eastAsia" w:ascii="仿宋_GB2312" w:eastAsia="仿宋_GB2312" w:cs="仿宋_GB2312"/>
          <w:bCs/>
          <w:color w:val="auto"/>
          <w:kern w:val="0"/>
          <w:sz w:val="32"/>
          <w:szCs w:val="32"/>
        </w:rPr>
        <w:t>社会保障和就业支出（类）行政事业单位离退休（款）机关事业单位职业年金（项）年初预算为</w:t>
      </w:r>
      <w:r>
        <w:rPr>
          <w:rFonts w:hint="eastAsia" w:ascii="仿宋_GB2312" w:eastAsia="仿宋_GB2312" w:cs="仿宋_GB2312"/>
          <w:bCs/>
          <w:color w:val="auto"/>
          <w:kern w:val="0"/>
          <w:sz w:val="32"/>
          <w:szCs w:val="32"/>
          <w:lang w:val="en-US" w:eastAsia="zh-CN"/>
        </w:rPr>
        <w:t>30.41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17.76</w:t>
      </w:r>
      <w:r>
        <w:rPr>
          <w:rFonts w:hint="eastAsia" w:ascii="仿宋_GB2312" w:eastAsia="仿宋_GB2312" w:cs="仿宋_GB2312"/>
          <w:bCs/>
          <w:color w:val="auto"/>
          <w:kern w:val="0"/>
          <w:sz w:val="32"/>
          <w:szCs w:val="32"/>
        </w:rPr>
        <w:t>万元，完成年初预算</w:t>
      </w:r>
      <w:r>
        <w:rPr>
          <w:rFonts w:hint="eastAsia" w:ascii="仿宋_GB2312" w:eastAsia="仿宋_GB2312" w:cs="仿宋_GB2312"/>
          <w:bCs/>
          <w:color w:val="auto"/>
          <w:kern w:val="0"/>
          <w:sz w:val="32"/>
          <w:szCs w:val="32"/>
          <w:lang w:val="en-US" w:eastAsia="zh-CN"/>
        </w:rPr>
        <w:t>58.40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决算数小于预算数的主要原因是：</w:t>
      </w:r>
      <w:r>
        <w:rPr>
          <w:rFonts w:hint="eastAsia" w:ascii="仿宋_GB2312" w:eastAsia="仿宋_GB2312" w:cs="仿宋_GB2312"/>
          <w:bCs/>
          <w:color w:val="auto"/>
          <w:kern w:val="0"/>
          <w:sz w:val="32"/>
          <w:szCs w:val="32"/>
          <w:lang w:eastAsia="zh-CN"/>
        </w:rPr>
        <w:t>年中退休</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lang w:eastAsia="zh-CN"/>
        </w:rPr>
        <w:t>人。</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（五）</w:t>
      </w:r>
      <w:r>
        <w:rPr>
          <w:rFonts w:hint="eastAsia" w:ascii="仿宋_GB2312" w:eastAsia="仿宋_GB2312" w:cs="仿宋_GB2312"/>
          <w:bCs/>
          <w:color w:val="auto"/>
          <w:kern w:val="0"/>
          <w:sz w:val="32"/>
          <w:szCs w:val="32"/>
        </w:rPr>
        <w:t>社会保障和就业支出（类）残疾人事业（款）行政运行（项）年初预算为</w:t>
      </w:r>
      <w:r>
        <w:rPr>
          <w:rFonts w:hint="eastAsia" w:ascii="仿宋_GB2312" w:eastAsia="仿宋_GB2312" w:cs="仿宋_GB2312"/>
          <w:bCs/>
          <w:color w:val="auto"/>
          <w:kern w:val="0"/>
          <w:sz w:val="32"/>
          <w:szCs w:val="32"/>
          <w:lang w:val="en-US" w:eastAsia="zh-CN"/>
        </w:rPr>
        <w:t>242.98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277.66</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114.27</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。决算数大于预算数的主要原因是年中发放机关在职人员绩效奖励、物业补贴及调职调级产生的工资增资部分。</w:t>
      </w:r>
    </w:p>
    <w:p>
      <w:pPr>
        <w:autoSpaceDE w:val="0"/>
        <w:autoSpaceDN w:val="0"/>
        <w:adjustRightInd w:val="0"/>
        <w:spacing w:line="56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（六）</w:t>
      </w:r>
      <w:r>
        <w:rPr>
          <w:rFonts w:hint="eastAsia" w:ascii="仿宋_GB2312" w:eastAsia="仿宋_GB2312" w:cs="仿宋_GB2312"/>
          <w:bCs/>
          <w:color w:val="auto"/>
          <w:kern w:val="0"/>
          <w:sz w:val="32"/>
          <w:szCs w:val="32"/>
        </w:rPr>
        <w:t>社会保障和就业支出（类）残疾人事业（款）残疾人康复（项）年初预算为</w:t>
      </w:r>
      <w:r>
        <w:rPr>
          <w:rFonts w:hint="eastAsia" w:ascii="仿宋_GB2312" w:eastAsia="仿宋_GB2312" w:cs="仿宋_GB2312"/>
          <w:bCs/>
          <w:color w:val="auto"/>
          <w:kern w:val="0"/>
          <w:sz w:val="32"/>
          <w:szCs w:val="32"/>
          <w:lang w:val="en-US" w:eastAsia="zh-CN"/>
        </w:rPr>
        <w:t>1374.34</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883.55</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64.29</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于预算数的主要原因有：</w:t>
      </w:r>
      <w:r>
        <w:rPr>
          <w:rFonts w:hint="eastAsia" w:ascii="仿宋_GB2312" w:eastAsia="仿宋_GB2312" w:cs="仿宋_GB2312"/>
          <w:bCs/>
          <w:color w:val="auto"/>
          <w:kern w:val="0"/>
          <w:sz w:val="32"/>
          <w:szCs w:val="32"/>
          <w:lang w:eastAsia="zh-CN"/>
        </w:rPr>
        <w:t>财政国库年终紧张，压减当年项目支付额度。</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（七）</w:t>
      </w:r>
      <w:r>
        <w:rPr>
          <w:rFonts w:hint="eastAsia" w:ascii="仿宋_GB2312" w:eastAsia="仿宋_GB2312" w:cs="仿宋_GB2312"/>
          <w:bCs/>
          <w:color w:val="auto"/>
          <w:kern w:val="0"/>
          <w:sz w:val="32"/>
          <w:szCs w:val="32"/>
        </w:rPr>
        <w:t>社会保障和就业支出（类）残疾人事业（款）残疾人就业和扶贫（项）年初预算为</w:t>
      </w:r>
      <w:r>
        <w:rPr>
          <w:rFonts w:hint="eastAsia" w:ascii="仿宋_GB2312" w:eastAsia="仿宋_GB2312" w:cs="仿宋_GB2312"/>
          <w:bCs/>
          <w:color w:val="auto"/>
          <w:kern w:val="0"/>
          <w:sz w:val="32"/>
          <w:szCs w:val="32"/>
          <w:lang w:val="en-US" w:eastAsia="zh-CN"/>
        </w:rPr>
        <w:t>207</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165.41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完成年初预算的</w:t>
      </w:r>
      <w:r>
        <w:rPr>
          <w:rFonts w:hint="eastAsia" w:ascii="仿宋_GB2312" w:eastAsia="仿宋_GB2312" w:cs="仿宋_GB2312"/>
          <w:bCs/>
          <w:color w:val="auto"/>
          <w:kern w:val="0"/>
          <w:sz w:val="32"/>
          <w:szCs w:val="32"/>
          <w:lang w:val="en-US" w:eastAsia="zh-CN"/>
        </w:rPr>
        <w:t>79.91</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eastAsia="zh-CN"/>
        </w:rPr>
        <w:t>农村残疾人重度医疗保险</w:t>
      </w:r>
      <w:r>
        <w:rPr>
          <w:rFonts w:hint="eastAsia" w:ascii="仿宋_GB2312" w:eastAsia="仿宋_GB2312" w:cs="仿宋_GB2312"/>
          <w:bCs/>
          <w:color w:val="auto"/>
          <w:kern w:val="0"/>
          <w:sz w:val="32"/>
          <w:szCs w:val="32"/>
          <w:lang w:val="en-US" w:eastAsia="zh-CN"/>
        </w:rPr>
        <w:t>62万预算指标划转市医保局</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（八）</w:t>
      </w:r>
      <w:r>
        <w:rPr>
          <w:rFonts w:hint="eastAsia" w:ascii="仿宋_GB2312" w:eastAsia="仿宋_GB2312" w:cs="仿宋_GB2312"/>
          <w:bCs/>
          <w:color w:val="auto"/>
          <w:kern w:val="0"/>
          <w:sz w:val="32"/>
          <w:szCs w:val="32"/>
        </w:rPr>
        <w:t>社会保障和就业支出（类）残疾人事业（款）残疾人体育（项）年初预算为</w:t>
      </w:r>
      <w:r>
        <w:rPr>
          <w:rFonts w:hint="eastAsia" w:ascii="仿宋_GB2312" w:eastAsia="仿宋_GB2312" w:cs="仿宋_GB2312"/>
          <w:bCs/>
          <w:color w:val="auto"/>
          <w:kern w:val="0"/>
          <w:sz w:val="32"/>
          <w:szCs w:val="32"/>
          <w:lang w:val="en-US" w:eastAsia="zh-CN"/>
        </w:rPr>
        <w:t>87.35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291.80</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吗，</w:t>
      </w:r>
      <w:r>
        <w:rPr>
          <w:rFonts w:hint="eastAsia" w:ascii="仿宋_GB2312" w:eastAsia="仿宋_GB2312" w:cs="仿宋_GB2312"/>
          <w:bCs/>
          <w:color w:val="auto"/>
          <w:kern w:val="0"/>
          <w:sz w:val="32"/>
          <w:szCs w:val="32"/>
        </w:rPr>
        <w:t>完成年初预算的</w:t>
      </w:r>
      <w:r>
        <w:rPr>
          <w:rFonts w:hint="eastAsia" w:ascii="仿宋_GB2312" w:eastAsia="仿宋_GB2312" w:cs="仿宋_GB2312"/>
          <w:bCs/>
          <w:color w:val="auto"/>
          <w:kern w:val="0"/>
          <w:sz w:val="32"/>
          <w:szCs w:val="32"/>
          <w:lang w:val="en-US" w:eastAsia="zh-CN"/>
        </w:rPr>
        <w:t>334.06</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。决算数大于预算数的主要原因有：是年中自治区下达残疾人体育专项经费</w:t>
      </w:r>
      <w:r>
        <w:rPr>
          <w:rFonts w:hint="eastAsia" w:ascii="仿宋_GB2312" w:eastAsia="仿宋_GB2312" w:cs="仿宋_GB2312"/>
          <w:bCs/>
          <w:color w:val="auto"/>
          <w:kern w:val="0"/>
          <w:sz w:val="32"/>
          <w:szCs w:val="32"/>
          <w:lang w:val="en-US" w:eastAsia="zh-CN"/>
        </w:rPr>
        <w:t>330</w:t>
      </w:r>
      <w:r>
        <w:rPr>
          <w:rFonts w:hint="eastAsia" w:ascii="仿宋_GB2312" w:eastAsia="仿宋_GB2312" w:cs="仿宋_GB2312"/>
          <w:bCs/>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（九）</w:t>
      </w:r>
      <w:r>
        <w:rPr>
          <w:rFonts w:hint="eastAsia" w:ascii="仿宋_GB2312" w:eastAsia="仿宋_GB2312" w:cs="仿宋_GB2312"/>
          <w:bCs/>
          <w:color w:val="auto"/>
          <w:kern w:val="0"/>
          <w:sz w:val="32"/>
          <w:szCs w:val="32"/>
        </w:rPr>
        <w:t>社会保障和就业支出（类）残疾人事业（款）其他残疾人事业支出（项）年初预算为</w:t>
      </w:r>
      <w:r>
        <w:rPr>
          <w:rFonts w:hint="eastAsia" w:ascii="仿宋_GB2312" w:eastAsia="仿宋_GB2312" w:cs="仿宋_GB2312"/>
          <w:bCs/>
          <w:color w:val="auto"/>
          <w:kern w:val="0"/>
          <w:sz w:val="32"/>
          <w:szCs w:val="32"/>
          <w:lang w:val="en-US" w:eastAsia="zh-CN"/>
        </w:rPr>
        <w:t>3266.29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1947</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59.61</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。决算数小于预算数的主要原因有：一是柳州市</w:t>
      </w:r>
      <w:r>
        <w:rPr>
          <w:rFonts w:hint="eastAsia" w:ascii="仿宋_GB2312" w:eastAsia="仿宋_GB2312" w:cs="仿宋_GB2312"/>
          <w:bCs/>
          <w:color w:val="auto"/>
          <w:kern w:val="0"/>
          <w:sz w:val="32"/>
          <w:szCs w:val="32"/>
          <w:lang w:eastAsia="zh-CN"/>
        </w:rPr>
        <w:t>康复医院改造工程尾款因财政紧张，</w:t>
      </w:r>
      <w:r>
        <w:rPr>
          <w:rFonts w:hint="eastAsia" w:ascii="仿宋_GB2312" w:eastAsia="仿宋_GB2312" w:cs="仿宋_GB2312"/>
          <w:bCs/>
          <w:color w:val="auto"/>
          <w:kern w:val="0"/>
          <w:sz w:val="32"/>
          <w:szCs w:val="32"/>
        </w:rPr>
        <w:t>未</w:t>
      </w:r>
      <w:r>
        <w:rPr>
          <w:rFonts w:hint="eastAsia" w:ascii="仿宋_GB2312" w:eastAsia="仿宋_GB2312" w:cs="仿宋_GB2312"/>
          <w:bCs/>
          <w:color w:val="auto"/>
          <w:kern w:val="0"/>
          <w:sz w:val="32"/>
          <w:szCs w:val="32"/>
          <w:lang w:eastAsia="zh-CN"/>
        </w:rPr>
        <w:t>能按期</w:t>
      </w:r>
      <w:r>
        <w:rPr>
          <w:rFonts w:hint="eastAsia" w:ascii="仿宋_GB2312" w:eastAsia="仿宋_GB2312" w:cs="仿宋_GB2312"/>
          <w:bCs/>
          <w:color w:val="auto"/>
          <w:kern w:val="0"/>
          <w:sz w:val="32"/>
          <w:szCs w:val="32"/>
        </w:rPr>
        <w:t>支付</w:t>
      </w:r>
      <w:r>
        <w:rPr>
          <w:rFonts w:hint="eastAsia" w:ascii="仿宋_GB2312" w:eastAsia="仿宋_GB2312" w:cs="仿宋_GB2312"/>
          <w:bCs/>
          <w:color w:val="auto"/>
          <w:kern w:val="0"/>
          <w:sz w:val="32"/>
          <w:szCs w:val="32"/>
          <w:lang w:eastAsia="zh-CN"/>
        </w:rPr>
        <w:t>工程进度款</w:t>
      </w:r>
      <w:r>
        <w:rPr>
          <w:rFonts w:hint="eastAsia" w:ascii="仿宋_GB2312" w:eastAsia="仿宋_GB2312" w:cs="仿宋_GB2312"/>
          <w:bCs/>
          <w:color w:val="auto"/>
          <w:kern w:val="0"/>
          <w:sz w:val="32"/>
          <w:szCs w:val="32"/>
        </w:rPr>
        <w:t>。二是各项政府采购、政府购买服务中标成交价与预算价差异形成结余。三是部分项目跨年度实施形成项目尾款未支付。</w:t>
      </w:r>
    </w:p>
    <w:p>
      <w:pPr>
        <w:autoSpaceDE w:val="0"/>
        <w:autoSpaceDN w:val="0"/>
        <w:adjustRightInd w:val="0"/>
        <w:spacing w:line="56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eastAsia="zh-CN"/>
        </w:rPr>
        <w:t>（十）</w:t>
      </w:r>
      <w:r>
        <w:rPr>
          <w:rFonts w:hint="eastAsia" w:ascii="仿宋_GB2312" w:eastAsia="仿宋_GB2312" w:cs="仿宋_GB2312"/>
          <w:bCs/>
          <w:color w:val="auto"/>
          <w:kern w:val="0"/>
          <w:sz w:val="32"/>
          <w:szCs w:val="32"/>
        </w:rPr>
        <w:t>社会保障和就业支出（类）</w:t>
      </w:r>
      <w:r>
        <w:rPr>
          <w:rFonts w:hint="eastAsia" w:ascii="仿宋_GB2312" w:eastAsia="仿宋_GB2312" w:cs="仿宋_GB2312"/>
          <w:bCs/>
          <w:color w:val="auto"/>
          <w:kern w:val="0"/>
          <w:sz w:val="32"/>
          <w:szCs w:val="32"/>
          <w:lang w:eastAsia="zh-CN"/>
        </w:rPr>
        <w:t>其他社会保障和就业支出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其他社会保障和就业支出</w:t>
      </w:r>
      <w:r>
        <w:rPr>
          <w:rFonts w:hint="eastAsia" w:ascii="仿宋_GB2312" w:eastAsia="仿宋_GB2312" w:cs="仿宋_GB2312"/>
          <w:bCs/>
          <w:color w:val="auto"/>
          <w:kern w:val="0"/>
          <w:sz w:val="32"/>
          <w:szCs w:val="32"/>
        </w:rPr>
        <w:t>（项）</w:t>
      </w:r>
      <w:r>
        <w:rPr>
          <w:rFonts w:hint="eastAsia" w:ascii="仿宋_GB2312" w:eastAsia="仿宋_GB2312" w:cs="仿宋_GB2312"/>
          <w:bCs/>
          <w:color w:val="auto"/>
          <w:kern w:val="0"/>
          <w:sz w:val="32"/>
          <w:szCs w:val="32"/>
          <w:lang w:val="en-US" w:eastAsia="zh-CN"/>
        </w:rPr>
        <w:t>0万元，</w:t>
      </w:r>
      <w:r>
        <w:rPr>
          <w:rFonts w:hint="eastAsia" w:ascii="仿宋_GB2312" w:eastAsia="仿宋_GB2312" w:cs="仿宋_GB2312"/>
          <w:bCs/>
          <w:color w:val="auto"/>
          <w:kern w:val="0"/>
          <w:sz w:val="32"/>
          <w:szCs w:val="32"/>
        </w:rPr>
        <w:t>支出决算为</w:t>
      </w:r>
      <w:r>
        <w:rPr>
          <w:rFonts w:hint="eastAsia" w:ascii="仿宋_GB2312" w:eastAsia="仿宋_GB2312" w:cs="仿宋_GB2312"/>
          <w:bCs/>
          <w:color w:val="auto"/>
          <w:kern w:val="0"/>
          <w:sz w:val="32"/>
          <w:szCs w:val="32"/>
          <w:lang w:val="en-US" w:eastAsia="zh-CN"/>
        </w:rPr>
        <w:t>2.04万元。</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val="en-US" w:eastAsia="zh-CN"/>
        </w:rPr>
        <w:t>事业单位增人增资，故预算追加。</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val="en-US" w:eastAsia="zh-CN"/>
        </w:rPr>
        <w:t>（十一）</w:t>
      </w:r>
      <w:r>
        <w:rPr>
          <w:rFonts w:hint="eastAsia" w:ascii="仿宋_GB2312" w:eastAsia="仿宋_GB2312" w:cs="仿宋_GB2312"/>
          <w:bCs/>
          <w:color w:val="auto"/>
          <w:kern w:val="0"/>
          <w:sz w:val="32"/>
          <w:szCs w:val="32"/>
        </w:rPr>
        <w:t>医疗卫生与计划生育支出（类）行政事业单位医疗（款）行政单位医疗（项）年初预算为</w:t>
      </w:r>
      <w:r>
        <w:rPr>
          <w:rFonts w:hint="eastAsia" w:ascii="仿宋_GB2312" w:eastAsia="仿宋_GB2312" w:cs="仿宋_GB2312"/>
          <w:bCs/>
          <w:color w:val="auto"/>
          <w:kern w:val="0"/>
          <w:sz w:val="32"/>
          <w:szCs w:val="32"/>
          <w:lang w:val="en-US" w:eastAsia="zh-CN"/>
        </w:rPr>
        <w:t>17.95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15.61</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86.96</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于预算数的主要原因是</w:t>
      </w:r>
      <w:r>
        <w:rPr>
          <w:rFonts w:hint="eastAsia" w:ascii="仿宋_GB2312" w:eastAsia="仿宋_GB2312" w:cs="仿宋_GB2312"/>
          <w:bCs/>
          <w:color w:val="auto"/>
          <w:kern w:val="0"/>
          <w:sz w:val="32"/>
          <w:szCs w:val="32"/>
          <w:lang w:eastAsia="zh-CN"/>
        </w:rPr>
        <w:t>本年度有在编人员退休。</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（十二）</w:t>
      </w:r>
      <w:r>
        <w:rPr>
          <w:rFonts w:hint="eastAsia" w:ascii="仿宋_GB2312" w:eastAsia="仿宋_GB2312" w:cs="仿宋_GB2312"/>
          <w:bCs/>
          <w:color w:val="auto"/>
          <w:kern w:val="0"/>
          <w:sz w:val="32"/>
          <w:szCs w:val="32"/>
        </w:rPr>
        <w:t>医疗卫生与计划生育支出（类）行政事业单位医疗（款）事业单位医疗（项）年初预算为</w:t>
      </w:r>
      <w:r>
        <w:rPr>
          <w:rFonts w:hint="eastAsia" w:ascii="仿宋_GB2312" w:eastAsia="仿宋_GB2312" w:cs="仿宋_GB2312"/>
          <w:bCs/>
          <w:color w:val="auto"/>
          <w:kern w:val="0"/>
          <w:sz w:val="32"/>
          <w:szCs w:val="32"/>
          <w:lang w:val="en-US" w:eastAsia="zh-CN"/>
        </w:rPr>
        <w:t>11.79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10.54</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89.4</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小于</w:t>
      </w:r>
      <w:r>
        <w:rPr>
          <w:rFonts w:hint="eastAsia" w:ascii="仿宋_GB2312" w:eastAsia="仿宋_GB2312" w:cs="仿宋_GB2312"/>
          <w:bCs/>
          <w:color w:val="auto"/>
          <w:kern w:val="0"/>
          <w:sz w:val="32"/>
          <w:szCs w:val="32"/>
        </w:rPr>
        <w:t>预算数的主要原因是</w:t>
      </w:r>
      <w:r>
        <w:rPr>
          <w:rFonts w:hint="eastAsia" w:ascii="仿宋_GB2312" w:eastAsia="仿宋_GB2312" w:cs="仿宋_GB2312"/>
          <w:bCs/>
          <w:color w:val="auto"/>
          <w:kern w:val="0"/>
          <w:sz w:val="32"/>
          <w:szCs w:val="32"/>
          <w:lang w:eastAsia="zh-CN"/>
        </w:rPr>
        <w:t>本年度有在编人员退休。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eastAsia="zh-CN"/>
        </w:rPr>
        <w:t>（十三）</w:t>
      </w:r>
      <w:r>
        <w:rPr>
          <w:rFonts w:hint="eastAsia" w:ascii="仿宋_GB2312" w:eastAsia="仿宋_GB2312" w:cs="仿宋_GB2312"/>
          <w:bCs/>
          <w:color w:val="auto"/>
          <w:kern w:val="0"/>
          <w:sz w:val="32"/>
          <w:szCs w:val="32"/>
        </w:rPr>
        <w:t>医疗卫生与计划生育支出（类）行政事业单位医疗（款）</w:t>
      </w:r>
      <w:r>
        <w:rPr>
          <w:rFonts w:hint="eastAsia" w:ascii="仿宋_GB2312" w:eastAsia="仿宋_GB2312" w:cs="仿宋_GB2312"/>
          <w:bCs/>
          <w:color w:val="auto"/>
          <w:kern w:val="0"/>
          <w:sz w:val="32"/>
          <w:szCs w:val="32"/>
          <w:lang w:eastAsia="zh-CN"/>
        </w:rPr>
        <w:t>公务员医疗补助</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10.46</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10.82</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103.63</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具体核算应缴额大于预算下达数，财政年终追加指标。</w:t>
      </w:r>
      <w:r>
        <w:rPr>
          <w:rFonts w:hint="eastAsia" w:ascii="仿宋_GB2312" w:eastAsia="仿宋_GB2312" w:cs="仿宋_GB2312"/>
          <w:bCs/>
          <w:color w:val="auto"/>
          <w:kern w:val="0"/>
          <w:sz w:val="32"/>
          <w:szCs w:val="32"/>
          <w:lang w:val="en-US" w:eastAsia="zh-CN"/>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（十四）</w:t>
      </w:r>
      <w:r>
        <w:rPr>
          <w:rFonts w:hint="eastAsia" w:ascii="仿宋_GB2312" w:eastAsia="仿宋_GB2312" w:cs="仿宋_GB2312"/>
          <w:bCs/>
          <w:color w:val="auto"/>
          <w:kern w:val="0"/>
          <w:sz w:val="32"/>
          <w:szCs w:val="32"/>
        </w:rPr>
        <w:t>医疗卫生与计划生育支出（类）行政事业单位医疗（款）</w:t>
      </w:r>
      <w:r>
        <w:rPr>
          <w:rFonts w:hint="eastAsia" w:ascii="仿宋_GB2312" w:eastAsia="仿宋_GB2312" w:cs="仿宋_GB2312"/>
          <w:bCs/>
          <w:color w:val="auto"/>
          <w:kern w:val="0"/>
          <w:sz w:val="32"/>
          <w:szCs w:val="32"/>
          <w:lang w:val="en-US" w:eastAsia="zh-CN"/>
        </w:rPr>
        <w:t>其他行政事业单位医疗支出（项）年初预算为0万元，支出决算为0.14万元。决算数大于预算数的主要原因是年中下达退休人员大额医疗。</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(十五）住房保障支出（类）住房改革支出</w:t>
      </w:r>
      <w:r>
        <w:rPr>
          <w:rFonts w:hint="eastAsia" w:ascii="仿宋_GB2312" w:eastAsia="仿宋_GB2312" w:cs="仿宋_GB2312"/>
          <w:bCs/>
          <w:color w:val="auto"/>
          <w:kern w:val="0"/>
          <w:sz w:val="32"/>
          <w:szCs w:val="32"/>
        </w:rPr>
        <w:t>（款）住房公积金（项）年初预算为</w:t>
      </w:r>
      <w:r>
        <w:rPr>
          <w:rFonts w:hint="eastAsia" w:ascii="仿宋_GB2312" w:eastAsia="仿宋_GB2312" w:cs="仿宋_GB2312"/>
          <w:bCs/>
          <w:color w:val="auto"/>
          <w:kern w:val="0"/>
          <w:sz w:val="32"/>
          <w:szCs w:val="32"/>
          <w:lang w:val="en-US" w:eastAsia="zh-CN"/>
        </w:rPr>
        <w:t>45.61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49.83</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109.25</w:t>
      </w:r>
      <w:r>
        <w:rPr>
          <w:rFonts w:ascii="仿宋_GB2312" w:eastAsia="仿宋_GB2312" w:cs="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。决算数大于预算数的主要原因是在职人员公积金缴费基数增加。</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三、</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    万元，支出具体情况如下：</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bCs/>
          <w:color w:val="auto"/>
          <w:kern w:val="0"/>
          <w:sz w:val="32"/>
          <w:szCs w:val="32"/>
        </w:rPr>
        <w:t>（一）工资福利支出</w:t>
      </w:r>
      <w:r>
        <w:rPr>
          <w:rFonts w:hint="eastAsia" w:ascii="仿宋_GB2312" w:eastAsia="仿宋_GB2312"/>
          <w:bCs/>
          <w:color w:val="auto"/>
          <w:kern w:val="0"/>
          <w:sz w:val="32"/>
          <w:szCs w:val="32"/>
          <w:lang w:val="en-US" w:eastAsia="zh-CN"/>
        </w:rPr>
        <w:t>574.73</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109.94</w:t>
      </w:r>
      <w:r>
        <w:rPr>
          <w:rFonts w:hint="eastAsia" w:ascii="仿宋_GB2312" w:eastAsia="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决算数大于预算数的主要原因是年中发放机关在职人员绩效奖励、物业补贴及调职调级产生的工资增资部分。</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bCs/>
          <w:color w:val="auto"/>
          <w:kern w:val="0"/>
          <w:sz w:val="32"/>
          <w:szCs w:val="32"/>
        </w:rPr>
        <w:t>（二）商品和服务支出</w:t>
      </w:r>
      <w:r>
        <w:rPr>
          <w:rFonts w:hint="eastAsia" w:ascii="仿宋_GB2312" w:eastAsia="仿宋_GB2312"/>
          <w:bCs/>
          <w:color w:val="auto"/>
          <w:kern w:val="0"/>
          <w:sz w:val="32"/>
          <w:szCs w:val="32"/>
          <w:lang w:val="en-US" w:eastAsia="zh-CN"/>
        </w:rPr>
        <w:t>23.21</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149.97</w:t>
      </w:r>
      <w:r>
        <w:rPr>
          <w:rFonts w:hint="eastAsia" w:ascii="仿宋_GB2312" w:eastAsia="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增人增资。</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lang w:eastAsia="zh-CN"/>
        </w:rPr>
      </w:pP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三</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对个人和家庭的补助</w:t>
      </w:r>
      <w:r>
        <w:rPr>
          <w:rFonts w:hint="eastAsia" w:ascii="仿宋_GB2312" w:eastAsia="仿宋_GB2312"/>
          <w:bCs/>
          <w:color w:val="auto"/>
          <w:kern w:val="0"/>
          <w:sz w:val="32"/>
          <w:szCs w:val="32"/>
          <w:lang w:val="en-US" w:eastAsia="zh-CN"/>
        </w:rPr>
        <w:t>23.21</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122.00</w:t>
      </w:r>
      <w:r>
        <w:rPr>
          <w:rFonts w:hint="eastAsia" w:ascii="仿宋_GB2312" w:eastAsia="仿宋_GB2312"/>
          <w:bCs/>
          <w:color w:val="auto"/>
          <w:kern w:val="0"/>
          <w:sz w:val="32"/>
          <w:szCs w:val="32"/>
        </w:rPr>
        <w:t>%。</w:t>
      </w:r>
      <w:r>
        <w:rPr>
          <w:rFonts w:hint="eastAsia" w:ascii="仿宋_GB2312" w:eastAsia="仿宋_GB2312" w:cs="仿宋_GB2312"/>
          <w:bCs/>
          <w:color w:val="auto"/>
          <w:kern w:val="0"/>
          <w:sz w:val="32"/>
          <w:szCs w:val="32"/>
        </w:rPr>
        <w:t>决算数大于预算数的主要原因是</w:t>
      </w:r>
      <w:r>
        <w:rPr>
          <w:rFonts w:hint="eastAsia" w:ascii="仿宋_GB2312" w:eastAsia="仿宋_GB2312" w:cs="仿宋_GB2312"/>
          <w:bCs/>
          <w:color w:val="auto"/>
          <w:kern w:val="0"/>
          <w:sz w:val="32"/>
          <w:szCs w:val="32"/>
          <w:lang w:eastAsia="zh-CN"/>
        </w:rPr>
        <w:t>增人增资。</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四、</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lang w:eastAsia="zh-CN"/>
        </w:rPr>
        <w:t>柳州市残疾人联合会</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b w:val="0"/>
          <w:bCs w:val="0"/>
          <w:color w:val="auto"/>
          <w:kern w:val="0"/>
          <w:sz w:val="32"/>
          <w:szCs w:val="32"/>
        </w:rPr>
      </w:pPr>
      <w:r>
        <w:rPr>
          <w:rFonts w:hint="eastAsia" w:ascii="仿宋_GB2312" w:eastAsia="仿宋_GB2312" w:cs="仿宋_GB2312"/>
          <w:b w:val="0"/>
          <w:bCs w:val="0"/>
          <w:color w:val="auto"/>
          <w:kern w:val="0"/>
          <w:sz w:val="32"/>
          <w:szCs w:val="32"/>
          <w:lang w:eastAsia="zh-CN"/>
        </w:rPr>
        <w:t>柳州市残疾人联合会</w:t>
      </w:r>
      <w:r>
        <w:rPr>
          <w:rFonts w:hint="eastAsia" w:ascii="仿宋_GB2312" w:eastAsia="仿宋_GB2312" w:cs="仿宋_GB2312"/>
          <w:b w:val="0"/>
          <w:bCs w:val="0"/>
          <w:color w:val="auto"/>
          <w:kern w:val="0"/>
          <w:sz w:val="32"/>
          <w:szCs w:val="32"/>
        </w:rPr>
        <w:t>2</w:t>
      </w:r>
      <w:r>
        <w:rPr>
          <w:rFonts w:ascii="仿宋_GB2312" w:eastAsia="仿宋_GB2312" w:cs="仿宋_GB2312"/>
          <w:b w:val="0"/>
          <w:bCs w:val="0"/>
          <w:color w:val="auto"/>
          <w:kern w:val="0"/>
          <w:sz w:val="32"/>
          <w:szCs w:val="32"/>
        </w:rPr>
        <w:t>02</w:t>
      </w:r>
      <w:r>
        <w:rPr>
          <w:rFonts w:hint="eastAsia" w:ascii="仿宋_GB2312" w:eastAsia="仿宋_GB2312" w:cs="仿宋_GB2312"/>
          <w:b w:val="0"/>
          <w:bCs w:val="0"/>
          <w:color w:val="auto"/>
          <w:kern w:val="0"/>
          <w:sz w:val="32"/>
          <w:szCs w:val="32"/>
          <w:lang w:val="en-US" w:eastAsia="zh-CN"/>
        </w:rPr>
        <w:t>1</w:t>
      </w:r>
      <w:r>
        <w:rPr>
          <w:rFonts w:hint="eastAsia" w:ascii="仿宋_GB2312" w:eastAsia="仿宋_GB2312" w:cs="仿宋_GB2312"/>
          <w:b w:val="0"/>
          <w:bCs w:val="0"/>
          <w:color w:val="auto"/>
          <w:kern w:val="0"/>
          <w:sz w:val="32"/>
          <w:szCs w:val="32"/>
        </w:rPr>
        <w:t>年度没有</w:t>
      </w:r>
      <w:r>
        <w:rPr>
          <w:rFonts w:hint="eastAsia" w:ascii="仿宋_GB2312" w:eastAsia="仿宋_GB2312"/>
          <w:b w:val="0"/>
          <w:bCs w:val="0"/>
          <w:color w:val="auto"/>
          <w:kern w:val="0"/>
          <w:sz w:val="32"/>
          <w:szCs w:val="32"/>
        </w:rPr>
        <w:t>国有资本经营预算财政拨款</w:t>
      </w:r>
      <w:r>
        <w:rPr>
          <w:rFonts w:hint="eastAsia" w:ascii="仿宋_GB2312" w:eastAsia="仿宋_GB2312" w:cs="仿宋_GB2312"/>
          <w:b w:val="0"/>
          <w:bCs w:val="0"/>
          <w:color w:val="auto"/>
          <w:kern w:val="0"/>
          <w:sz w:val="32"/>
          <w:szCs w:val="32"/>
        </w:rPr>
        <w:t>收入，也没有</w:t>
      </w:r>
      <w:r>
        <w:rPr>
          <w:rFonts w:hint="eastAsia" w:ascii="仿宋_GB2312" w:eastAsia="仿宋_GB2312"/>
          <w:b w:val="0"/>
          <w:bCs w:val="0"/>
          <w:color w:val="auto"/>
          <w:kern w:val="0"/>
          <w:sz w:val="32"/>
          <w:szCs w:val="32"/>
        </w:rPr>
        <w:t>国有资本经营预算财政拨款安排</w:t>
      </w:r>
      <w:r>
        <w:rPr>
          <w:rFonts w:hint="eastAsia" w:ascii="仿宋_GB2312" w:eastAsia="仿宋_GB2312" w:cs="仿宋_GB2312"/>
          <w:b w:val="0"/>
          <w:bCs w:val="0"/>
          <w:color w:val="auto"/>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w:t>
      </w:r>
      <w:r>
        <w:rPr>
          <w:rFonts w:hint="eastAsia" w:ascii="仿宋_GB2312" w:eastAsia="仿宋_GB2312" w:cs="仿宋_GB2312"/>
          <w:color w:val="auto"/>
          <w:kern w:val="0"/>
          <w:sz w:val="32"/>
          <w:szCs w:val="32"/>
          <w:lang w:val="en-US" w:eastAsia="zh-CN"/>
        </w:rPr>
        <w:t>1.06</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92.98</w:t>
      </w:r>
      <w:r>
        <w:rPr>
          <w:rFonts w:hint="eastAsia" w:ascii="仿宋_GB2312" w:eastAsia="仿宋_GB2312" w:cs="仿宋_GB2312"/>
          <w:color w:val="auto"/>
          <w:kern w:val="0"/>
          <w:sz w:val="32"/>
          <w:szCs w:val="32"/>
        </w:rPr>
        <w:t>%，比上年增减（减少</w:t>
      </w:r>
      <w:r>
        <w:rPr>
          <w:rFonts w:hint="eastAsia" w:ascii="仿宋_GB2312" w:eastAsia="仿宋_GB2312" w:cs="仿宋_GB2312"/>
          <w:color w:val="auto"/>
          <w:kern w:val="0"/>
          <w:sz w:val="32"/>
          <w:szCs w:val="32"/>
          <w:lang w:val="en-US" w:eastAsia="zh-CN"/>
        </w:rPr>
        <w:t>1.67</w:t>
      </w:r>
      <w:r>
        <w:rPr>
          <w:rFonts w:hint="eastAsia" w:ascii="仿宋_GB2312" w:eastAsia="仿宋_GB2312" w:cs="仿宋_GB2312"/>
          <w:color w:val="auto"/>
          <w:kern w:val="0"/>
          <w:sz w:val="32"/>
          <w:szCs w:val="32"/>
        </w:rPr>
        <w:t>万元，主要原因是</w:t>
      </w:r>
      <w:r>
        <w:rPr>
          <w:rFonts w:hint="eastAsia" w:ascii="仿宋_GB2312" w:eastAsia="仿宋_GB2312" w:cs="仿宋_GB2312"/>
          <w:color w:val="auto"/>
          <w:kern w:val="0"/>
          <w:sz w:val="32"/>
          <w:szCs w:val="32"/>
          <w:lang w:eastAsia="zh-CN"/>
        </w:rPr>
        <w:t>财政压减三公经费</w:t>
      </w:r>
      <w:r>
        <w:rPr>
          <w:rFonts w:hint="eastAsia" w:ascii="仿宋_GB2312" w:eastAsia="仿宋_GB2312" w:cs="仿宋_GB2312"/>
          <w:color w:val="auto"/>
          <w:kern w:val="0"/>
          <w:sz w:val="32"/>
          <w:szCs w:val="32"/>
        </w:rPr>
        <w:t>。其中：因公出国（境）费支出决算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万元，公务用车购置及运行费支出决算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万元，公务接待费支出决算</w:t>
      </w:r>
      <w:r>
        <w:rPr>
          <w:rFonts w:hint="eastAsia" w:ascii="仿宋_GB2312" w:eastAsia="仿宋_GB2312" w:cs="仿宋_GB2312"/>
          <w:color w:val="auto"/>
          <w:kern w:val="0"/>
          <w:sz w:val="32"/>
          <w:szCs w:val="32"/>
          <w:lang w:val="en-US" w:eastAsia="zh-CN"/>
        </w:rPr>
        <w:t>1.06</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pPr>
        <w:numPr>
          <w:ilvl w:val="0"/>
          <w:numId w:val="1"/>
        </w:numPr>
        <w:autoSpaceDE w:val="0"/>
        <w:autoSpaceDN w:val="0"/>
        <w:adjustRightInd w:val="0"/>
        <w:spacing w:line="560" w:lineRule="exact"/>
        <w:ind w:firstLine="640" w:firstLineChars="200"/>
        <w:jc w:val="left"/>
        <w:rPr>
          <w:rFonts w:hint="eastAsia" w:ascii="仿宋_GB2312" w:hAnsi="黑体" w:eastAsia="仿宋_GB2312"/>
          <w:bCs/>
          <w:color w:val="auto"/>
          <w:sz w:val="32"/>
          <w:szCs w:val="32"/>
          <w:lang w:eastAsia="zh-CN"/>
        </w:rPr>
      </w:pPr>
      <w:r>
        <w:rPr>
          <w:rFonts w:hint="eastAsia" w:ascii="仿宋_GB2312" w:eastAsia="仿宋_GB2312" w:cs="仿宋_GB2312"/>
          <w:color w:val="auto"/>
          <w:kern w:val="0"/>
          <w:sz w:val="32"/>
          <w:szCs w:val="32"/>
        </w:rPr>
        <w:t>因公出国（境）费支出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  %，</w:t>
      </w:r>
      <w:r>
        <w:rPr>
          <w:rFonts w:hint="eastAsia" w:ascii="仿宋_GB2312" w:eastAsia="仿宋_GB2312" w:cs="仿宋_GB2312"/>
          <w:color w:val="auto"/>
          <w:kern w:val="0"/>
          <w:sz w:val="32"/>
          <w:szCs w:val="32"/>
          <w:lang w:eastAsia="zh-CN"/>
        </w:rPr>
        <w:t>与上年持平，</w:t>
      </w:r>
      <w:r>
        <w:rPr>
          <w:rFonts w:hint="eastAsia" w:ascii="仿宋_GB2312" w:eastAsia="仿宋_GB2312" w:cs="仿宋_GB2312"/>
          <w:color w:val="auto"/>
          <w:kern w:val="0"/>
          <w:sz w:val="32"/>
          <w:szCs w:val="32"/>
        </w:rPr>
        <w:t>原因是</w:t>
      </w:r>
      <w:r>
        <w:rPr>
          <w:rFonts w:hint="eastAsia" w:ascii="仿宋_GB2312" w:eastAsia="仿宋_GB2312" w:cs="仿宋_GB2312"/>
          <w:color w:val="auto"/>
          <w:kern w:val="0"/>
          <w:sz w:val="32"/>
          <w:szCs w:val="32"/>
          <w:lang w:eastAsia="zh-CN"/>
        </w:rPr>
        <w:t>本年度无因公出国事项</w:t>
      </w:r>
      <w:r>
        <w:rPr>
          <w:rFonts w:hint="eastAsia" w:ascii="仿宋_GB2312" w:eastAsia="仿宋_GB2312" w:cs="仿宋_GB2312"/>
          <w:color w:val="auto"/>
          <w:kern w:val="0"/>
          <w:sz w:val="32"/>
          <w:szCs w:val="32"/>
        </w:rPr>
        <w:t>。全年使用财政拨款安排</w:t>
      </w:r>
      <w:r>
        <w:rPr>
          <w:rFonts w:hint="eastAsia" w:ascii="仿宋_GB2312" w:hAnsi="黑体" w:eastAsia="仿宋_GB2312"/>
          <w:bCs/>
          <w:color w:val="auto"/>
          <w:sz w:val="32"/>
          <w:szCs w:val="32"/>
          <w:u w:val="none"/>
          <w:lang w:val="en-US" w:eastAsia="zh-CN"/>
        </w:rPr>
        <w:t>0个</w:t>
      </w:r>
      <w:r>
        <w:rPr>
          <w:rFonts w:hint="eastAsia" w:ascii="仿宋_GB2312" w:hAnsi="黑体" w:eastAsia="仿宋_GB2312"/>
          <w:bCs/>
          <w:color w:val="auto"/>
          <w:sz w:val="32"/>
          <w:szCs w:val="32"/>
        </w:rPr>
        <w:t>（</w:t>
      </w:r>
      <w:r>
        <w:rPr>
          <w:rFonts w:hint="eastAsia" w:ascii="仿宋_GB2312" w:eastAsia="仿宋_GB2312" w:cs="仿宋_GB2312"/>
          <w:color w:val="auto"/>
          <w:kern w:val="0"/>
          <w:sz w:val="32"/>
          <w:szCs w:val="32"/>
        </w:rPr>
        <w:t>委、局、办</w:t>
      </w:r>
      <w:r>
        <w:rPr>
          <w:rFonts w:hint="eastAsia" w:ascii="仿宋_GB2312" w:hAnsi="黑体" w:eastAsia="仿宋_GB2312"/>
          <w:bCs/>
          <w:color w:val="auto"/>
          <w:sz w:val="32"/>
          <w:szCs w:val="32"/>
        </w:rPr>
        <w:t>）机关、</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个所属单位出国团组</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个，参加其他单位组织的出国团组</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个，全年因公出国（境）团组共计</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个，累计</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人次</w:t>
      </w:r>
      <w:r>
        <w:rPr>
          <w:rFonts w:hint="eastAsia" w:ascii="仿宋_GB2312" w:hAnsi="黑体" w:eastAsia="仿宋_GB2312"/>
          <w:bCs/>
          <w:color w:val="auto"/>
          <w:sz w:val="32"/>
          <w:szCs w:val="32"/>
          <w:lang w:eastAsia="zh-CN"/>
        </w:rPr>
        <w:t>（必须说明）</w:t>
      </w:r>
      <w:r>
        <w:rPr>
          <w:rFonts w:hint="eastAsia" w:ascii="仿宋_GB2312" w:hAnsi="黑体" w:eastAsia="仿宋_GB2312"/>
          <w:bCs/>
          <w:color w:val="auto"/>
          <w:sz w:val="32"/>
          <w:szCs w:val="32"/>
        </w:rPr>
        <w:t>。</w:t>
      </w:r>
      <w:r>
        <w:rPr>
          <w:rFonts w:hint="eastAsia" w:ascii="仿宋_GB2312" w:hAnsi="黑体" w:eastAsia="仿宋_GB2312"/>
          <w:bCs/>
          <w:color w:val="auto"/>
          <w:sz w:val="32"/>
          <w:szCs w:val="32"/>
          <w:lang w:eastAsia="zh-CN"/>
        </w:rPr>
        <w:t>全年无</w:t>
      </w:r>
      <w:r>
        <w:rPr>
          <w:rFonts w:hint="eastAsia" w:ascii="仿宋_GB2312" w:hAnsi="黑体" w:eastAsia="仿宋_GB2312"/>
          <w:bCs/>
          <w:color w:val="auto"/>
          <w:sz w:val="32"/>
          <w:szCs w:val="32"/>
        </w:rPr>
        <w:t>开支</w:t>
      </w:r>
      <w:r>
        <w:rPr>
          <w:rFonts w:hint="eastAsia" w:ascii="仿宋_GB2312" w:hAnsi="黑体" w:eastAsia="仿宋_GB2312"/>
          <w:bCs/>
          <w:color w:val="auto"/>
          <w:sz w:val="32"/>
          <w:szCs w:val="32"/>
          <w:lang w:eastAsia="zh-CN"/>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与上年持平。本年无新</w:t>
      </w:r>
      <w:r>
        <w:rPr>
          <w:rFonts w:hint="eastAsia" w:ascii="仿宋_GB2312" w:eastAsia="仿宋_GB2312" w:cs="仿宋_GB2312"/>
          <w:color w:val="auto"/>
          <w:kern w:val="0"/>
          <w:sz w:val="32"/>
          <w:szCs w:val="32"/>
        </w:rPr>
        <w:t>购置了公务用车</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auto"/>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万元，比上年增</w:t>
      </w:r>
      <w:r>
        <w:rPr>
          <w:rFonts w:hint="eastAsia" w:ascii="仿宋_GB2312" w:eastAsia="仿宋_GB2312" w:cs="仿宋_GB2312"/>
          <w:color w:val="auto"/>
          <w:kern w:val="0"/>
          <w:sz w:val="32"/>
          <w:szCs w:val="32"/>
          <w:lang w:eastAsia="zh-CN"/>
        </w:rPr>
        <w:t>加</w:t>
      </w:r>
      <w:r>
        <w:rPr>
          <w:rFonts w:hint="eastAsia" w:ascii="仿宋_GB2312" w:eastAsia="仿宋_GB2312" w:cs="仿宋_GB2312"/>
          <w:color w:val="auto"/>
          <w:kern w:val="0"/>
          <w:sz w:val="32"/>
          <w:szCs w:val="32"/>
        </w:rPr>
        <w:t>减少</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万元，原因是成立了</w:t>
      </w:r>
      <w:r>
        <w:rPr>
          <w:rFonts w:hint="eastAsia" w:ascii="仿宋_GB2312" w:eastAsia="仿宋_GB2312" w:cs="仿宋_GB2312"/>
          <w:color w:val="auto"/>
          <w:kern w:val="0"/>
          <w:sz w:val="32"/>
          <w:szCs w:val="32"/>
          <w:lang w:eastAsia="zh-CN"/>
        </w:rPr>
        <w:t>我部门于</w:t>
      </w:r>
      <w:r>
        <w:rPr>
          <w:rFonts w:hint="eastAsia" w:ascii="仿宋_GB2312" w:eastAsia="仿宋_GB2312" w:cs="仿宋_GB2312"/>
          <w:color w:val="auto"/>
          <w:kern w:val="0"/>
          <w:sz w:val="32"/>
          <w:szCs w:val="32"/>
          <w:lang w:val="en-US" w:eastAsia="zh-CN"/>
        </w:rPr>
        <w:t>2020年8月成立了柳州残疾人辅助器具</w:t>
      </w:r>
      <w:r>
        <w:rPr>
          <w:rFonts w:hint="eastAsia" w:ascii="仿宋_GB2312" w:eastAsia="仿宋_GB2312" w:cs="仿宋_GB2312"/>
          <w:color w:val="auto"/>
          <w:kern w:val="0"/>
          <w:sz w:val="32"/>
          <w:szCs w:val="32"/>
        </w:rPr>
        <w:t>中心，原</w:t>
      </w:r>
      <w:r>
        <w:rPr>
          <w:rFonts w:hint="eastAsia" w:ascii="仿宋_GB2312" w:eastAsia="仿宋_GB2312" w:cs="仿宋_GB2312"/>
          <w:color w:val="auto"/>
          <w:kern w:val="0"/>
          <w:sz w:val="32"/>
          <w:szCs w:val="32"/>
          <w:lang w:eastAsia="zh-CN"/>
        </w:rPr>
        <w:t>柳州市残疾人</w:t>
      </w:r>
      <w:r>
        <w:rPr>
          <w:rFonts w:hint="eastAsia" w:ascii="仿宋_GB2312" w:eastAsia="仿宋_GB2312" w:cs="仿宋_GB2312"/>
          <w:color w:val="auto"/>
          <w:kern w:val="0"/>
          <w:sz w:val="32"/>
          <w:szCs w:val="32"/>
        </w:rPr>
        <w:t>康复中心的辅具业务用车划归</w:t>
      </w:r>
      <w:r>
        <w:rPr>
          <w:rFonts w:hint="eastAsia" w:ascii="仿宋_GB2312" w:eastAsia="仿宋_GB2312" w:cs="仿宋_GB2312"/>
          <w:color w:val="auto"/>
          <w:kern w:val="0"/>
          <w:sz w:val="32"/>
          <w:szCs w:val="32"/>
          <w:lang w:val="en-US" w:eastAsia="zh-CN"/>
        </w:rPr>
        <w:t>柳州残疾人辅助器具</w:t>
      </w:r>
      <w:r>
        <w:rPr>
          <w:rFonts w:hint="eastAsia" w:ascii="仿宋_GB2312" w:eastAsia="仿宋_GB2312" w:cs="仿宋_GB2312"/>
          <w:color w:val="auto"/>
          <w:kern w:val="0"/>
          <w:sz w:val="32"/>
          <w:szCs w:val="32"/>
        </w:rPr>
        <w:t>中心所有</w:t>
      </w:r>
      <w:r>
        <w:rPr>
          <w:rFonts w:hint="eastAsia" w:ascii="仿宋_GB2312" w:eastAsia="仿宋_GB2312" w:cs="仿宋_GB2312"/>
          <w:color w:val="auto"/>
          <w:kern w:val="0"/>
          <w:sz w:val="32"/>
          <w:szCs w:val="32"/>
          <w:lang w:eastAsia="zh-CN"/>
        </w:rPr>
        <w:t>，该单位为无预算单位，全年无财政拨款收入，不需做年度决算</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本年无新</w:t>
      </w:r>
      <w:r>
        <w:rPr>
          <w:rFonts w:hint="eastAsia" w:ascii="仿宋_GB2312" w:eastAsia="仿宋_GB2312" w:cs="仿宋_GB2312"/>
          <w:color w:val="auto"/>
          <w:kern w:val="0"/>
          <w:sz w:val="32"/>
          <w:szCs w:val="32"/>
        </w:rPr>
        <w:t>购置了公务用车</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主要用于机要文件交换、市内因公出行以及开展业务所需车辆燃料费、维修费、过路过桥费、保险费等。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u w:val="none"/>
          <w:lang w:eastAsia="zh-CN"/>
        </w:rPr>
        <w:t>柳州市残疾人联合会</w:t>
      </w:r>
      <w:r>
        <w:rPr>
          <w:rFonts w:hint="eastAsia" w:ascii="仿宋_GB2312" w:hAnsi="黑体" w:eastAsia="仿宋_GB2312"/>
          <w:bCs/>
          <w:color w:val="auto"/>
          <w:sz w:val="32"/>
          <w:szCs w:val="32"/>
          <w:lang w:val="en-US" w:eastAsia="zh-CN"/>
        </w:rPr>
        <w:t>3</w:t>
      </w:r>
      <w:r>
        <w:rPr>
          <w:rFonts w:hint="eastAsia" w:ascii="仿宋_GB2312" w:hAnsi="黑体" w:eastAsia="仿宋_GB2312"/>
          <w:bCs/>
          <w:color w:val="auto"/>
          <w:sz w:val="32"/>
          <w:szCs w:val="32"/>
        </w:rPr>
        <w:t>个所属单位开支财政拨款的公务用车保有量为</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辆</w:t>
      </w:r>
      <w:r>
        <w:rPr>
          <w:rFonts w:hint="eastAsia" w:ascii="仿宋_GB2312" w:hAnsi="黑体" w:eastAsia="仿宋_GB2312"/>
          <w:b/>
          <w:bCs w:val="0"/>
          <w:color w:val="auto"/>
          <w:sz w:val="32"/>
          <w:szCs w:val="32"/>
        </w:rPr>
        <w:t>，</w:t>
      </w:r>
      <w:r>
        <w:rPr>
          <w:rFonts w:hint="eastAsia" w:ascii="仿宋_GB2312" w:hAnsi="黑体" w:eastAsia="仿宋_GB2312"/>
          <w:bCs/>
          <w:color w:val="auto"/>
          <w:sz w:val="32"/>
          <w:szCs w:val="32"/>
        </w:rPr>
        <w:t>全年运行费支出</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1.06</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92.98</w:t>
      </w:r>
      <w:r>
        <w:rPr>
          <w:rFonts w:hint="eastAsia" w:ascii="仿宋_GB2312" w:eastAsia="仿宋_GB2312" w:cs="仿宋_GB2312"/>
          <w:color w:val="auto"/>
          <w:kern w:val="0"/>
          <w:sz w:val="32"/>
          <w:szCs w:val="32"/>
        </w:rPr>
        <w:t>%， 比上年</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0.73</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接待任务增加</w:t>
      </w:r>
      <w:r>
        <w:rPr>
          <w:rFonts w:hint="eastAsia" w:ascii="仿宋_GB2312" w:eastAsia="仿宋_GB2312" w:cs="仿宋_GB2312"/>
          <w:color w:val="auto"/>
          <w:kern w:val="0"/>
          <w:sz w:val="32"/>
          <w:szCs w:val="32"/>
        </w:rPr>
        <w:t>。国内公务接待批次</w:t>
      </w:r>
      <w:r>
        <w:rPr>
          <w:rFonts w:hint="eastAsia" w:ascii="仿宋_GB2312" w:eastAsia="仿宋_GB2312" w:cs="仿宋_GB2312"/>
          <w:color w:val="auto"/>
          <w:kern w:val="0"/>
          <w:sz w:val="32"/>
          <w:szCs w:val="32"/>
          <w:lang w:val="en-US" w:eastAsia="zh-CN"/>
        </w:rPr>
        <w:t>25</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70</w:t>
      </w:r>
      <w:r>
        <w:rPr>
          <w:rFonts w:hint="eastAsia" w:ascii="仿宋_GB2312" w:eastAsia="仿宋_GB2312" w:cs="仿宋_GB2312"/>
          <w:color w:val="auto"/>
          <w:kern w:val="0"/>
          <w:sz w:val="32"/>
          <w:szCs w:val="32"/>
        </w:rPr>
        <w:t>次，国（境）外公务接待批次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olor w:val="auto"/>
          <w:sz w:val="32"/>
          <w:szCs w:val="32"/>
        </w:rPr>
        <w:t xml:space="preserve"> </w:t>
      </w:r>
      <w:r>
        <w:rPr>
          <w:rFonts w:hint="eastAsia" w:ascii="楷体_GB2312" w:eastAsia="楷体_GB2312" w:cs="仿宋_GB2312"/>
          <w:color w:val="auto"/>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年度机关运行经费支出</w:t>
      </w:r>
      <w:r>
        <w:rPr>
          <w:rFonts w:hint="eastAsia" w:ascii="仿宋_GB2312" w:eastAsia="仿宋_GB2312" w:cs="仿宋_GB2312"/>
          <w:color w:val="auto"/>
          <w:kern w:val="0"/>
          <w:sz w:val="32"/>
          <w:szCs w:val="32"/>
          <w:lang w:val="en-US" w:eastAsia="zh-CN"/>
        </w:rPr>
        <w:t>30.56</w:t>
      </w:r>
      <w:r>
        <w:rPr>
          <w:rFonts w:hint="eastAsia" w:ascii="仿宋_GB2312" w:eastAsia="仿宋_GB2312" w:cs="仿宋_GB2312"/>
          <w:color w:val="auto"/>
          <w:kern w:val="0"/>
          <w:sz w:val="32"/>
          <w:szCs w:val="32"/>
        </w:rPr>
        <w:t>万元，比年初预算数减少</w:t>
      </w:r>
      <w:r>
        <w:rPr>
          <w:rFonts w:hint="eastAsia" w:ascii="仿宋_GB2312" w:eastAsia="仿宋_GB2312" w:cs="仿宋_GB2312"/>
          <w:color w:val="auto"/>
          <w:kern w:val="0"/>
          <w:sz w:val="32"/>
          <w:szCs w:val="32"/>
          <w:lang w:val="en-US" w:eastAsia="zh-CN"/>
        </w:rPr>
        <w:t>22.06</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41.92</w:t>
      </w:r>
      <w:r>
        <w:rPr>
          <w:rFonts w:hint="eastAsia" w:ascii="仿宋_GB2312" w:eastAsia="仿宋_GB2312" w:cs="仿宋_GB2312"/>
          <w:color w:val="auto"/>
          <w:kern w:val="0"/>
          <w:sz w:val="32"/>
          <w:szCs w:val="32"/>
        </w:rPr>
        <w:t>%。主要原因是：</w:t>
      </w:r>
      <w:r>
        <w:rPr>
          <w:rFonts w:hint="eastAsia" w:ascii="仿宋_GB2312" w:eastAsia="仿宋_GB2312" w:cs="仿宋_GB2312"/>
          <w:color w:val="auto"/>
          <w:kern w:val="0"/>
          <w:sz w:val="32"/>
          <w:szCs w:val="32"/>
          <w:lang w:eastAsia="zh-CN"/>
        </w:rPr>
        <w:t>记账时将伙食补助纳入工资福利支出</w:t>
      </w:r>
      <w:r>
        <w:rPr>
          <w:rFonts w:hint="eastAsia" w:ascii="仿宋_GB2312" w:eastAsia="仿宋_GB2312" w:cs="仿宋_GB2312"/>
          <w:color w:val="auto"/>
          <w:kern w:val="0"/>
          <w:sz w:val="32"/>
          <w:szCs w:val="32"/>
        </w:rPr>
        <w:t>，比</w:t>
      </w:r>
      <w:r>
        <w:rPr>
          <w:rFonts w:hint="eastAsia" w:ascii="仿宋_GB2312" w:eastAsia="仿宋_GB2312" w:cs="仿宋_GB2312"/>
          <w:color w:val="auto"/>
          <w:kern w:val="0"/>
          <w:sz w:val="32"/>
          <w:szCs w:val="32"/>
          <w:lang w:eastAsia="zh-CN"/>
        </w:rPr>
        <w:t>2020</w:t>
      </w:r>
      <w:r>
        <w:rPr>
          <w:rFonts w:hint="eastAsia" w:ascii="仿宋_GB2312" w:eastAsia="仿宋_GB2312" w:cs="仿宋_GB2312"/>
          <w:color w:val="auto"/>
          <w:kern w:val="0"/>
          <w:sz w:val="32"/>
          <w:szCs w:val="32"/>
        </w:rPr>
        <w:t>年增加</w:t>
      </w:r>
      <w:r>
        <w:rPr>
          <w:rFonts w:hint="eastAsia" w:ascii="仿宋_GB2312" w:eastAsia="仿宋_GB2312" w:cs="仿宋_GB2312"/>
          <w:color w:val="auto"/>
          <w:kern w:val="0"/>
          <w:sz w:val="32"/>
          <w:szCs w:val="32"/>
          <w:lang w:val="en-US" w:eastAsia="zh-CN"/>
        </w:rPr>
        <w:t>10.47</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52.12</w:t>
      </w:r>
      <w:r>
        <w:rPr>
          <w:rFonts w:hint="eastAsia" w:ascii="仿宋_GB2312" w:eastAsia="仿宋_GB2312" w:cs="仿宋_GB2312"/>
          <w:color w:val="auto"/>
          <w:kern w:val="0"/>
          <w:sz w:val="32"/>
          <w:szCs w:val="32"/>
        </w:rPr>
        <w:t>%。主要原因是：资产运行维护支出增加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、信息系统运行维护支出增加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、人员编制数量增加</w:t>
      </w:r>
      <w:r>
        <w:rPr>
          <w:rFonts w:hint="eastAsia" w:ascii="仿宋_GB2312" w:eastAsia="仿宋_GB2312" w:cs="仿宋_GB2312"/>
          <w:color w:val="auto"/>
          <w:kern w:val="0"/>
          <w:sz w:val="32"/>
          <w:szCs w:val="32"/>
          <w:lang w:val="en-US" w:eastAsia="zh-CN"/>
        </w:rPr>
        <w:t xml:space="preserve"> 。</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年度政府采购支出总额</w:t>
      </w:r>
      <w:r>
        <w:rPr>
          <w:rFonts w:hint="eastAsia" w:ascii="仿宋_GB2312" w:eastAsia="仿宋_GB2312" w:cs="仿宋_GB2312"/>
          <w:color w:val="auto"/>
          <w:kern w:val="0"/>
          <w:sz w:val="32"/>
          <w:szCs w:val="32"/>
          <w:lang w:val="en-US" w:eastAsia="zh-CN"/>
        </w:rPr>
        <w:t>265.31</w:t>
      </w:r>
      <w:r>
        <w:rPr>
          <w:rFonts w:hint="eastAsia" w:ascii="仿宋_GB2312" w:eastAsia="仿宋_GB2312" w:cs="仿宋_GB2312"/>
          <w:color w:val="auto"/>
          <w:kern w:val="0"/>
          <w:sz w:val="32"/>
          <w:szCs w:val="32"/>
        </w:rPr>
        <w:t>万元，其中：政府采购货物支出</w:t>
      </w:r>
      <w:r>
        <w:rPr>
          <w:rFonts w:hint="eastAsia" w:ascii="仿宋_GB2312" w:eastAsia="仿宋_GB2312" w:cs="仿宋_GB2312"/>
          <w:color w:val="auto"/>
          <w:kern w:val="0"/>
          <w:sz w:val="32"/>
          <w:szCs w:val="32"/>
          <w:lang w:val="en-US" w:eastAsia="zh-CN"/>
        </w:rPr>
        <w:t>179.72</w:t>
      </w:r>
      <w:r>
        <w:rPr>
          <w:rFonts w:hint="eastAsia" w:ascii="仿宋_GB2312" w:eastAsia="仿宋_GB2312" w:cs="仿宋_GB2312"/>
          <w:color w:val="auto"/>
          <w:kern w:val="0"/>
          <w:sz w:val="32"/>
          <w:szCs w:val="32"/>
        </w:rPr>
        <w:t>万元、政府采购服务支出</w:t>
      </w:r>
      <w:r>
        <w:rPr>
          <w:rFonts w:hint="eastAsia" w:ascii="仿宋_GB2312" w:eastAsia="仿宋_GB2312" w:cs="仿宋_GB2312"/>
          <w:color w:val="auto"/>
          <w:kern w:val="0"/>
          <w:sz w:val="32"/>
          <w:szCs w:val="32"/>
          <w:lang w:val="en-US" w:eastAsia="zh-CN"/>
        </w:rPr>
        <w:t>85.59</w:t>
      </w:r>
      <w:r>
        <w:rPr>
          <w:rFonts w:hint="eastAsia" w:ascii="仿宋_GB2312" w:eastAsia="仿宋_GB2312" w:cs="仿宋_GB2312"/>
          <w:color w:val="auto"/>
          <w:kern w:val="0"/>
          <w:sz w:val="32"/>
          <w:szCs w:val="32"/>
        </w:rPr>
        <w:t>万元，（口径参见部门决算F03表《机构运行信息表》中政府采购相关数据，并做好与</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 xml:space="preserve"> 年度政府采购信息统计报表中“政府采购资金情况表”有关数据的衔接）。授予中小企业合同金额</w:t>
      </w:r>
      <w:r>
        <w:rPr>
          <w:rFonts w:hint="eastAsia" w:ascii="仿宋_GB2312" w:eastAsia="仿宋_GB2312" w:cs="仿宋_GB2312"/>
          <w:color w:val="auto"/>
          <w:kern w:val="0"/>
          <w:sz w:val="32"/>
          <w:szCs w:val="32"/>
          <w:lang w:val="en-US" w:eastAsia="zh-CN"/>
        </w:rPr>
        <w:t>4.88</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1.84</w:t>
      </w:r>
      <w:r>
        <w:rPr>
          <w:rFonts w:hint="eastAsia" w:ascii="仿宋_GB2312" w:eastAsia="仿宋_GB2312" w:cs="仿宋_GB2312"/>
          <w:color w:val="auto"/>
          <w:kern w:val="0"/>
          <w:sz w:val="32"/>
          <w:szCs w:val="32"/>
        </w:rPr>
        <w:t>%，其中：授予小微企业合同金额</w:t>
      </w:r>
      <w:r>
        <w:rPr>
          <w:rFonts w:hint="eastAsia" w:ascii="仿宋_GB2312" w:eastAsia="仿宋_GB2312" w:cs="仿宋_GB2312"/>
          <w:color w:val="auto"/>
          <w:kern w:val="0"/>
          <w:sz w:val="32"/>
          <w:szCs w:val="32"/>
          <w:lang w:val="en-US" w:eastAsia="zh-CN"/>
        </w:rPr>
        <w:t>238.44</w:t>
      </w:r>
      <w:r>
        <w:rPr>
          <w:rFonts w:hint="eastAsia" w:ascii="仿宋_GB2312" w:eastAsia="仿宋_GB2312" w:cs="仿宋_GB2312"/>
          <w:color w:val="auto"/>
          <w:kern w:val="0"/>
          <w:sz w:val="32"/>
          <w:szCs w:val="32"/>
        </w:rPr>
        <w:t>万元，占政府采购支出总额的</w:t>
      </w:r>
      <w:r>
        <w:rPr>
          <w:rFonts w:hint="eastAsia" w:ascii="仿宋_GB2312" w:eastAsia="仿宋_GB2312" w:cs="仿宋_GB2312"/>
          <w:color w:val="auto"/>
          <w:kern w:val="0"/>
          <w:sz w:val="32"/>
          <w:szCs w:val="32"/>
          <w:lang w:val="en-US" w:eastAsia="zh-CN"/>
        </w:rPr>
        <w:t>89.87</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color w:val="auto"/>
          <w:kern w:val="0"/>
          <w:sz w:val="32"/>
          <w:szCs w:val="32"/>
        </w:rPr>
      </w:pPr>
      <w:r>
        <w:rPr>
          <w:rFonts w:hint="eastAsia" w:ascii="仿宋_GB2312" w:eastAsia="仿宋_GB2312" w:cs="仿宋_GB2312"/>
          <w:b/>
          <w:color w:val="auto"/>
          <w:kern w:val="0"/>
          <w:sz w:val="32"/>
          <w:szCs w:val="32"/>
        </w:rPr>
        <w:t>无支出也需要注明“本部门无政府采购支出”。</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辆，其中：</w:t>
      </w:r>
      <w:r>
        <w:rPr>
          <w:rFonts w:hint="eastAsia" w:ascii="仿宋_GB2312" w:eastAsia="仿宋_GB2312" w:cs="仿宋_GB2312"/>
          <w:color w:val="auto"/>
          <w:kern w:val="0"/>
          <w:sz w:val="32"/>
          <w:szCs w:val="32"/>
          <w:lang w:eastAsia="zh-CN"/>
        </w:rPr>
        <w:t>专业技术</w:t>
      </w:r>
      <w:r>
        <w:rPr>
          <w:rFonts w:hint="eastAsia" w:ascii="仿宋_GB2312" w:eastAsia="仿宋_GB2312" w:cs="仿宋_GB2312"/>
          <w:color w:val="auto"/>
          <w:kern w:val="0"/>
          <w:sz w:val="32"/>
          <w:szCs w:val="32"/>
        </w:rPr>
        <w:t>用车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辆；单价50万元以上通用设备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无国有资产则在相关的资产后填0。</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根据财政预算管理要求，我部门组织对20</w:t>
      </w:r>
      <w:r>
        <w:rPr>
          <w:rFonts w:hint="eastAsia" w:ascii="仿宋_GB2312" w:eastAsia="仿宋_GB2312" w:cs="仿宋_GB2312"/>
          <w:color w:val="auto"/>
          <w:kern w:val="0"/>
          <w:sz w:val="32"/>
          <w:szCs w:val="32"/>
          <w:highlight w:val="none"/>
          <w:lang w:val="en-US" w:eastAsia="zh-CN"/>
        </w:rPr>
        <w:t>21</w:t>
      </w:r>
      <w:r>
        <w:rPr>
          <w:rFonts w:hint="eastAsia" w:ascii="仿宋_GB2312" w:eastAsia="仿宋_GB2312" w:cs="仿宋_GB2312"/>
          <w:color w:val="auto"/>
          <w:kern w:val="0"/>
          <w:sz w:val="32"/>
          <w:szCs w:val="32"/>
          <w:highlight w:val="none"/>
        </w:rPr>
        <w:t>年度一般公共预算项目支出全面开展绩效自评。共涉及资金</w:t>
      </w:r>
      <w:r>
        <w:rPr>
          <w:rFonts w:hint="eastAsia" w:ascii="仿宋_GB2312" w:eastAsia="仿宋_GB2312" w:cs="仿宋_GB2312"/>
          <w:color w:val="auto"/>
          <w:kern w:val="0"/>
          <w:sz w:val="32"/>
          <w:szCs w:val="32"/>
          <w:highlight w:val="none"/>
          <w:lang w:val="en-US" w:eastAsia="zh-CN"/>
        </w:rPr>
        <w:t>5148.73</w:t>
      </w:r>
      <w:r>
        <w:rPr>
          <w:rFonts w:hint="eastAsia" w:ascii="仿宋_GB2312" w:eastAsia="仿宋_GB2312" w:cs="仿宋_GB2312"/>
          <w:color w:val="auto"/>
          <w:kern w:val="0"/>
          <w:sz w:val="32"/>
          <w:szCs w:val="32"/>
          <w:highlight w:val="none"/>
        </w:rPr>
        <w:t>万元，占一般公共预算项目支出总额的</w:t>
      </w:r>
      <w:r>
        <w:rPr>
          <w:rFonts w:hint="eastAsia" w:ascii="仿宋_GB2312" w:eastAsia="仿宋_GB2312" w:cs="仿宋_GB2312"/>
          <w:color w:val="auto"/>
          <w:kern w:val="0"/>
          <w:sz w:val="32"/>
          <w:szCs w:val="32"/>
          <w:highlight w:val="none"/>
          <w:lang w:val="en-US" w:eastAsia="zh-CN"/>
        </w:rPr>
        <w:t>100</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组织对20</w:t>
      </w:r>
      <w:r>
        <w:rPr>
          <w:rFonts w:hint="eastAsia" w:ascii="仿宋_GB2312" w:eastAsia="仿宋_GB2312" w:cs="仿宋_GB2312"/>
          <w:color w:val="auto"/>
          <w:kern w:val="0"/>
          <w:sz w:val="32"/>
          <w:szCs w:val="32"/>
          <w:highlight w:val="none"/>
          <w:lang w:val="en-US" w:eastAsia="zh-CN"/>
        </w:rPr>
        <w:t>21</w:t>
      </w:r>
      <w:r>
        <w:rPr>
          <w:rFonts w:hint="eastAsia" w:ascii="仿宋_GB2312" w:eastAsia="仿宋_GB2312" w:cs="仿宋_GB2312"/>
          <w:color w:val="auto"/>
          <w:kern w:val="0"/>
          <w:sz w:val="32"/>
          <w:szCs w:val="32"/>
          <w:highlight w:val="none"/>
        </w:rPr>
        <w:t>年度</w:t>
      </w:r>
      <w:r>
        <w:rPr>
          <w:rFonts w:hint="eastAsia" w:ascii="仿宋_GB2312" w:eastAsia="仿宋_GB2312" w:cs="仿宋_GB2312"/>
          <w:color w:val="auto"/>
          <w:kern w:val="0"/>
          <w:sz w:val="32"/>
          <w:szCs w:val="32"/>
          <w:highlight w:val="none"/>
          <w:lang w:eastAsia="zh-CN"/>
        </w:rPr>
        <w:t>康复经费（市级）</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eastAsia="zh-CN"/>
        </w:rPr>
        <w:t>康复经费（补助县）、康复经费（补助城区）、康复医院改造工程、基金待安排、</w:t>
      </w:r>
      <w:r>
        <w:rPr>
          <w:rFonts w:hint="eastAsia" w:ascii="仿宋_GB2312" w:eastAsia="仿宋_GB2312" w:cs="仿宋_GB2312"/>
          <w:color w:val="auto"/>
          <w:kern w:val="0"/>
          <w:sz w:val="32"/>
          <w:szCs w:val="32"/>
          <w:highlight w:val="none"/>
        </w:rPr>
        <w:t>聘用人员经费、劳务派遣经费、残疾人康复设施设备购置经费</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rPr>
        <w:t>2021年柳州市个体工商户和灵活就业残疾人参加企业职工基本养老保险补贴经费、柳州市（柳南区）残疾人辅助性就业示范基地经费</w:t>
      </w:r>
      <w:r>
        <w:rPr>
          <w:rFonts w:hint="eastAsia" w:ascii="仿宋_GB2312" w:eastAsia="仿宋_GB2312" w:cs="仿宋_GB2312"/>
          <w:color w:val="auto"/>
          <w:kern w:val="0"/>
          <w:sz w:val="32"/>
          <w:szCs w:val="32"/>
          <w:highlight w:val="none"/>
          <w:lang w:val="en-US" w:eastAsia="zh-CN"/>
        </w:rPr>
        <w:t>10</w:t>
      </w:r>
      <w:r>
        <w:rPr>
          <w:rFonts w:hint="eastAsia" w:ascii="仿宋_GB2312" w:eastAsia="仿宋_GB2312" w:cs="仿宋_GB2312"/>
          <w:color w:val="auto"/>
          <w:kern w:val="0"/>
          <w:sz w:val="32"/>
          <w:szCs w:val="32"/>
          <w:highlight w:val="none"/>
        </w:rPr>
        <w:t>个项目进行了绩效评价</w:t>
      </w:r>
      <w:r>
        <w:rPr>
          <w:rFonts w:hint="eastAsia" w:ascii="仿宋_GB2312" w:eastAsia="仿宋_GB2312" w:cs="仿宋_GB2312"/>
          <w:color w:val="auto"/>
          <w:kern w:val="0"/>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2.部门决算中项目绩效自评结果。</w:t>
      </w:r>
    </w:p>
    <w:p>
      <w:pPr>
        <w:spacing w:line="560"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highlight w:val="none"/>
        </w:rPr>
        <w:t>我部门根据年初设定的绩效目标，</w:t>
      </w:r>
      <w:r>
        <w:rPr>
          <w:rFonts w:hint="eastAsia" w:ascii="仿宋_GB2312" w:eastAsia="仿宋_GB2312" w:cs="仿宋_GB2312"/>
          <w:color w:val="auto"/>
          <w:kern w:val="0"/>
          <w:sz w:val="32"/>
          <w:szCs w:val="32"/>
          <w:highlight w:val="none"/>
          <w:lang w:eastAsia="zh-CN"/>
        </w:rPr>
        <w:t>自评得分如下：康复经费（市级）自评等分</w:t>
      </w:r>
      <w:r>
        <w:rPr>
          <w:rFonts w:hint="eastAsia" w:ascii="仿宋_GB2312" w:eastAsia="仿宋_GB2312" w:cs="仿宋_GB2312"/>
          <w:color w:val="auto"/>
          <w:kern w:val="0"/>
          <w:sz w:val="32"/>
          <w:szCs w:val="32"/>
          <w:highlight w:val="none"/>
          <w:lang w:val="en-US" w:eastAsia="zh-CN"/>
        </w:rPr>
        <w:t>97分；基金待安排90分；康复医院改造工程86分；</w:t>
      </w:r>
      <w:r>
        <w:rPr>
          <w:rFonts w:hint="eastAsia" w:ascii="仿宋_GB2312" w:eastAsia="仿宋_GB2312" w:cs="仿宋_GB2312"/>
          <w:color w:val="auto"/>
          <w:kern w:val="0"/>
          <w:sz w:val="32"/>
          <w:szCs w:val="32"/>
        </w:rPr>
        <w:t>2021年柳州市个体工商户和灵活就业残疾人参加企业职工基本养老保险补贴经费项目自评得分为99分</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highlight w:val="none"/>
          <w:lang w:val="en-US" w:eastAsia="zh-CN"/>
        </w:rPr>
        <w:t>康复经费（补助县）、康复经费（补助城区）、</w:t>
      </w:r>
      <w:r>
        <w:rPr>
          <w:rFonts w:hint="eastAsia" w:ascii="仿宋_GB2312" w:eastAsia="仿宋_GB2312" w:cs="仿宋_GB2312"/>
          <w:color w:val="auto"/>
          <w:kern w:val="0"/>
          <w:sz w:val="32"/>
          <w:szCs w:val="32"/>
        </w:rPr>
        <w:t>柳州市（柳南区）残疾人辅助性就业示范基地经费</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聘用人员经费、劳务派遣经费、残疾人康复设施设备购置经费</w:t>
      </w:r>
      <w:r>
        <w:rPr>
          <w:rFonts w:hint="eastAsia" w:ascii="仿宋_GB2312" w:eastAsia="仿宋_GB2312" w:cs="仿宋_GB2312"/>
          <w:color w:val="auto"/>
          <w:kern w:val="0"/>
          <w:sz w:val="32"/>
          <w:szCs w:val="32"/>
          <w:lang w:val="en-US" w:eastAsia="zh-CN"/>
        </w:rPr>
        <w:t>6</w:t>
      </w:r>
      <w:r>
        <w:rPr>
          <w:rFonts w:hint="eastAsia" w:ascii="仿宋_GB2312" w:eastAsia="仿宋_GB2312" w:cs="仿宋_GB2312"/>
          <w:color w:val="auto"/>
          <w:kern w:val="0"/>
          <w:sz w:val="32"/>
          <w:szCs w:val="32"/>
        </w:rPr>
        <w:t xml:space="preserve"> 个项目自评得分均为100分。发现的主要问题及原因：一是鱼峰区、柳城县和融安县审批结果有误，整改后按结果完成发放。下一步改进措施：一是每年发放工作开始前中心抽查各县（区）发放人员名单申请材料，各县区整改后再发放；二是每年各县（区）完成发放和精准预算工作后，中心对于五城五县两新区养老补贴工作完成情况进行检查，归档材料不完整的县区补齐相关材料，已发名单存在不符合文件补贴条件的县区追回违规发放资金。柳州市（柳南区）残疾人辅助性就业示范基地经费项目自评得分为97分。发现的主要问题及原因：一是市财政实际下拨60万元，还有42.16万元未下拨。未下拨的这42.16万元是2021年柳州市残疾人辅助性就业示范基地项目运营管理服务采购的项目款。2021年柳州市残疾人辅助性就业示范基地项目运营管理服务合同项目款61.13万元，按照合同要求招募满34名辅助性就业对象，并提供所需材料后支付60%，即36.678万元，现只支付18.97万元，未能全部达到预期指标。下一步改进措施：一是</w:t>
      </w:r>
      <w:r>
        <w:rPr>
          <w:rFonts w:ascii="仿宋_GB2312" w:eastAsia="仿宋_GB2312" w:cs="仿宋_GB2312"/>
          <w:color w:val="auto"/>
          <w:kern w:val="0"/>
          <w:sz w:val="32"/>
          <w:szCs w:val="32"/>
        </w:rPr>
        <w:t>加快资金支付力度</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确保年底资金没有结余</w:t>
      </w:r>
      <w:r>
        <w:rPr>
          <w:rFonts w:hint="eastAsia" w:ascii="仿宋_GB2312" w:eastAsia="仿宋_GB2312" w:cs="仿宋_GB2312"/>
          <w:color w:val="auto"/>
          <w:kern w:val="0"/>
          <w:sz w:val="32"/>
          <w:szCs w:val="32"/>
        </w:rPr>
        <w:t>；二是</w:t>
      </w:r>
      <w:r>
        <w:rPr>
          <w:rFonts w:ascii="仿宋_GB2312" w:eastAsia="仿宋_GB2312" w:cs="仿宋_GB2312"/>
          <w:color w:val="auto"/>
          <w:kern w:val="0"/>
          <w:sz w:val="32"/>
          <w:szCs w:val="32"/>
        </w:rPr>
        <w:t>项目资金做到早安排早下达</w:t>
      </w:r>
      <w:r>
        <w:rPr>
          <w:rFonts w:hint="eastAsia" w:ascii="仿宋_GB2312" w:eastAsia="仿宋_GB2312" w:cs="仿宋_GB2312"/>
          <w:color w:val="auto"/>
          <w:kern w:val="0"/>
          <w:sz w:val="32"/>
          <w:szCs w:val="32"/>
        </w:rPr>
        <w:t>，</w:t>
      </w:r>
      <w:r>
        <w:rPr>
          <w:rFonts w:ascii="仿宋_GB2312" w:eastAsia="仿宋_GB2312" w:cs="仿宋_GB2312"/>
          <w:color w:val="auto"/>
          <w:kern w:val="0"/>
          <w:sz w:val="32"/>
          <w:szCs w:val="32"/>
        </w:rPr>
        <w:t>充分考虑各种因素，确保年底</w:t>
      </w:r>
      <w:r>
        <w:rPr>
          <w:rFonts w:hint="eastAsia" w:ascii="仿宋_GB2312" w:eastAsia="仿宋_GB2312" w:cs="仿宋_GB2312"/>
          <w:color w:val="auto"/>
          <w:kern w:val="0"/>
          <w:sz w:val="32"/>
          <w:szCs w:val="32"/>
        </w:rPr>
        <w:t>项目完成</w:t>
      </w:r>
      <w:r>
        <w:rPr>
          <w:rFonts w:ascii="仿宋_GB2312" w:eastAsia="仿宋_GB2312" w:cs="仿宋_GB2312"/>
          <w:color w:val="auto"/>
          <w:kern w:val="0"/>
          <w:sz w:val="32"/>
          <w:szCs w:val="32"/>
        </w:rPr>
        <w:t>。</w:t>
      </w:r>
    </w:p>
    <w:p>
      <w:pPr>
        <w:spacing w:line="560" w:lineRule="exact"/>
        <w:ind w:firstLine="640" w:firstLineChars="200"/>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 xml:space="preserve"> </w:t>
      </w: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0"/>
        <w:rPr>
          <w:rFonts w:hint="eastAsia" w:ascii="仿宋_GB2312" w:eastAsia="仿宋_GB2312"/>
          <w:color w:val="auto"/>
          <w:sz w:val="32"/>
          <w:szCs w:val="32"/>
        </w:rPr>
      </w:pPr>
      <w:r>
        <w:rPr>
          <w:rFonts w:hint="eastAsia" w:ascii="仿宋_GB2312" w:eastAsia="仿宋_GB2312"/>
          <w:color w:val="auto"/>
          <w:sz w:val="32"/>
          <w:szCs w:val="32"/>
        </w:rPr>
        <w:t>一、财政拨款收入：指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财政部门当年拨付的资金。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pPr>
        <w:ind w:firstLine="640"/>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pPr>
        <w:ind w:firstLine="640"/>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十二、“三公”经费：纳入</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财政预决算管理的“三公”经费，是指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color w:val="auto"/>
          <w:kern w:val="0"/>
          <w:sz w:val="32"/>
          <w:szCs w:val="32"/>
        </w:rPr>
      </w:pPr>
    </w:p>
    <w:p>
      <w:pPr>
        <w:rPr>
          <w:color w:val="auto"/>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4444E"/>
    <w:multiLevelType w:val="singleLevel"/>
    <w:tmpl w:val="E8A444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GQwMzA1MGM1ODJjMzdiZjBmNTJkNTQyMDNkZDUifQ=="/>
  </w:docVars>
  <w:rsids>
    <w:rsidRoot w:val="00172A27"/>
    <w:rsid w:val="01D54D98"/>
    <w:rsid w:val="03205376"/>
    <w:rsid w:val="03B16F15"/>
    <w:rsid w:val="04422422"/>
    <w:rsid w:val="04576130"/>
    <w:rsid w:val="04EF3CDE"/>
    <w:rsid w:val="067515A0"/>
    <w:rsid w:val="07163D83"/>
    <w:rsid w:val="083E0795"/>
    <w:rsid w:val="09343478"/>
    <w:rsid w:val="0B4109E3"/>
    <w:rsid w:val="0B571845"/>
    <w:rsid w:val="0D4C78BD"/>
    <w:rsid w:val="0DD50723"/>
    <w:rsid w:val="0DEA1BCB"/>
    <w:rsid w:val="0E74382D"/>
    <w:rsid w:val="0F010435"/>
    <w:rsid w:val="0FCE4AE0"/>
    <w:rsid w:val="10861CB0"/>
    <w:rsid w:val="126C0172"/>
    <w:rsid w:val="152F6A2B"/>
    <w:rsid w:val="15C565C8"/>
    <w:rsid w:val="167504A0"/>
    <w:rsid w:val="16BB6FEA"/>
    <w:rsid w:val="170C0F7D"/>
    <w:rsid w:val="18241D84"/>
    <w:rsid w:val="18B73993"/>
    <w:rsid w:val="1A9F2F51"/>
    <w:rsid w:val="1AE45BF4"/>
    <w:rsid w:val="1B6848B0"/>
    <w:rsid w:val="1C286558"/>
    <w:rsid w:val="1DFB3BE0"/>
    <w:rsid w:val="1DFF2747"/>
    <w:rsid w:val="1F0449FF"/>
    <w:rsid w:val="1FAF0094"/>
    <w:rsid w:val="1FC236C1"/>
    <w:rsid w:val="1FCE0CE7"/>
    <w:rsid w:val="20970AC6"/>
    <w:rsid w:val="214560D2"/>
    <w:rsid w:val="24970857"/>
    <w:rsid w:val="26460DBA"/>
    <w:rsid w:val="290128D1"/>
    <w:rsid w:val="29DC7ED1"/>
    <w:rsid w:val="29E82DBD"/>
    <w:rsid w:val="2A351FC9"/>
    <w:rsid w:val="2C4219FE"/>
    <w:rsid w:val="2C4E5273"/>
    <w:rsid w:val="2D2473FC"/>
    <w:rsid w:val="2DC84D69"/>
    <w:rsid w:val="2DD10A68"/>
    <w:rsid w:val="2EF27184"/>
    <w:rsid w:val="2EFA49A9"/>
    <w:rsid w:val="307E5D8A"/>
    <w:rsid w:val="30E630DF"/>
    <w:rsid w:val="318F1765"/>
    <w:rsid w:val="322E684A"/>
    <w:rsid w:val="32C4107A"/>
    <w:rsid w:val="333C5D8B"/>
    <w:rsid w:val="34BD6D0A"/>
    <w:rsid w:val="34DD5737"/>
    <w:rsid w:val="356564FF"/>
    <w:rsid w:val="36B9176F"/>
    <w:rsid w:val="378D42B4"/>
    <w:rsid w:val="394C271F"/>
    <w:rsid w:val="39A63F06"/>
    <w:rsid w:val="3A6F7FA5"/>
    <w:rsid w:val="3A8B1492"/>
    <w:rsid w:val="3ED1439F"/>
    <w:rsid w:val="3F260F89"/>
    <w:rsid w:val="41BF3C3E"/>
    <w:rsid w:val="4337490C"/>
    <w:rsid w:val="437006D9"/>
    <w:rsid w:val="4395786A"/>
    <w:rsid w:val="445F005C"/>
    <w:rsid w:val="44C6288E"/>
    <w:rsid w:val="455844E9"/>
    <w:rsid w:val="45697EC4"/>
    <w:rsid w:val="457E2341"/>
    <w:rsid w:val="463C2CFD"/>
    <w:rsid w:val="470276BB"/>
    <w:rsid w:val="48F12759"/>
    <w:rsid w:val="4B545EAC"/>
    <w:rsid w:val="4BA321E8"/>
    <w:rsid w:val="4C256E3D"/>
    <w:rsid w:val="4CB52F0F"/>
    <w:rsid w:val="4F2F1129"/>
    <w:rsid w:val="509E5CE6"/>
    <w:rsid w:val="50A37D3B"/>
    <w:rsid w:val="518F6BA3"/>
    <w:rsid w:val="532F1F9A"/>
    <w:rsid w:val="53CD26A9"/>
    <w:rsid w:val="54166F16"/>
    <w:rsid w:val="54EA382C"/>
    <w:rsid w:val="55CA28B8"/>
    <w:rsid w:val="5EAD6EB3"/>
    <w:rsid w:val="5F8F158D"/>
    <w:rsid w:val="608A7986"/>
    <w:rsid w:val="6126226E"/>
    <w:rsid w:val="61902C1E"/>
    <w:rsid w:val="62163194"/>
    <w:rsid w:val="634F3F7E"/>
    <w:rsid w:val="655928E5"/>
    <w:rsid w:val="664D2ADA"/>
    <w:rsid w:val="698E0D6B"/>
    <w:rsid w:val="6BE37A39"/>
    <w:rsid w:val="6C6021D6"/>
    <w:rsid w:val="6CBB4CF5"/>
    <w:rsid w:val="6DDC699F"/>
    <w:rsid w:val="6E806558"/>
    <w:rsid w:val="701C349A"/>
    <w:rsid w:val="713D28F7"/>
    <w:rsid w:val="725F02E1"/>
    <w:rsid w:val="72A66B8C"/>
    <w:rsid w:val="734B4421"/>
    <w:rsid w:val="73951C43"/>
    <w:rsid w:val="75886935"/>
    <w:rsid w:val="765C11D2"/>
    <w:rsid w:val="76D95799"/>
    <w:rsid w:val="77002F29"/>
    <w:rsid w:val="772A5FEE"/>
    <w:rsid w:val="7C9D4C3B"/>
    <w:rsid w:val="7D18475A"/>
    <w:rsid w:val="7E413C0D"/>
    <w:rsid w:val="7E77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 w:type="character" w:customStyle="1" w:styleId="9">
    <w:name w:val="font7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 w:type="character" w:customStyle="1" w:styleId="11">
    <w:name w:val="font11"/>
    <w:basedOn w:val="5"/>
    <w:qFormat/>
    <w:uiPriority w:val="0"/>
    <w:rPr>
      <w:rFonts w:hint="default" w:ascii="Times New Roman" w:hAnsi="Times New Roman" w:cs="Times New Roman"/>
      <w:color w:val="000000"/>
      <w:sz w:val="18"/>
      <w:szCs w:val="18"/>
      <w:u w:val="none"/>
    </w:rPr>
  </w:style>
  <w:style w:type="character" w:customStyle="1" w:styleId="12">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10234</Words>
  <Characters>12748</Characters>
  <Lines>0</Lines>
  <Paragraphs>0</Paragraphs>
  <TotalTime>11</TotalTime>
  <ScaleCrop>false</ScaleCrop>
  <LinksUpToDate>false</LinksUpToDate>
  <CharactersWithSpaces>13037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2021-08-03T09:00:00Z</cp:lastPrinted>
  <dcterms:modified xsi:type="dcterms:W3CDTF">2023-07-29T05:10:01Z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A562567FF1E4448790B5F109DB88D758</vt:lpwstr>
  </property>
</Properties>
</file>