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u w:val="single"/>
        </w:rPr>
        <w:t xml:space="preserve"> </w:t>
      </w:r>
      <w:r>
        <w:rPr>
          <w:rFonts w:hint="eastAsia" w:ascii="黑体" w:hAnsi="黑体" w:eastAsia="黑体"/>
          <w:bCs/>
          <w:color w:val="000000"/>
          <w:sz w:val="52"/>
          <w:szCs w:val="52"/>
          <w:u w:val="single"/>
          <w:lang w:val="en-US" w:eastAsia="zh-CN"/>
        </w:rPr>
        <w:t>莲花山保护中心</w:t>
      </w:r>
      <w:r>
        <w:rPr>
          <w:rFonts w:hint="eastAsia" w:ascii="黑体" w:hAnsi="黑体" w:eastAsia="黑体"/>
          <w:bCs/>
          <w:color w:val="000000"/>
          <w:sz w:val="52"/>
          <w:szCs w:val="52"/>
          <w:u w:val="single"/>
        </w:rPr>
        <w:t xml:space="preserve"> </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both"/>
        <w:rPr>
          <w:rFonts w:hint="eastAsia" w:ascii="方正小标宋简体" w:eastAsia="方正小标宋简体"/>
          <w:b/>
          <w:sz w:val="44"/>
          <w:szCs w:val="44"/>
        </w:rPr>
      </w:pPr>
    </w:p>
    <w:p>
      <w:pPr>
        <w:ind w:firstLine="646"/>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柳州市莲花山保护中心（柳州市三门江国家森林公园管理处）负责莲花山保护区域的日常监督管理工作，主要职责是：</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（一）贯彻执行有关法律、法规和《柳州市莲花山保护条例》。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（二）组织调查莲花山的自然和人文资源，建立数据档案，做好莲花山保护范围和三门江国家森林公园生态保护与修复工作。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（三）负责组织开展莲花山保护宣传教育活动，承担森林资源及生物多样性等生态文化知识的科普及宣传教育工作。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（四）负责莲花山的日常巡查，开展保护范围和公园森林防火及安全生产工作。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（五）负责森林资源管理、生态环境维护、休闲场所提供，做好保护范围和公园旅游资源保护及开发利用工作。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（六）行使《柳州市莲花山保护条例》赋予的行政处罚权。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（七）配合有关主管部门做好莲花山保护的相关工作。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（八）编制公园总体规划并组织协调实施。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（九）完成上级主管部门交办的其他任务。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kinsoku/>
        <w:wordWrap/>
        <w:overflowPunct/>
        <w:topLinePunct w:val="0"/>
        <w:autoSpaceDE/>
        <w:autoSpaceDN/>
        <w:bidi w:val="0"/>
        <w:spacing w:beforeAutospacing="0" w:afterAutospacing="0" w:line="560" w:lineRule="exact"/>
        <w:ind w:firstLine="960" w:firstLineChars="3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val="en-US" w:eastAsia="zh-CN"/>
        </w:rPr>
        <w:t>柳州市莲花山保护中心</w:t>
      </w:r>
      <w:r>
        <w:rPr>
          <w:rFonts w:hint="eastAsia" w:ascii="仿宋_GB2312" w:hAnsi="华文仿宋" w:eastAsia="仿宋_GB2312"/>
          <w:color w:val="000000"/>
          <w:sz w:val="32"/>
          <w:szCs w:val="32"/>
          <w:lang w:eastAsia="zh-CN"/>
        </w:rPr>
        <w:t>共有直属单位</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lang w:eastAsia="zh-CN"/>
        </w:rPr>
        <w:t>个。其中：</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eastAsia" w:ascii="仿宋_GB2312" w:hAnsi="华文仿宋" w:eastAsia="仿宋_GB2312"/>
          <w:color w:val="000000"/>
          <w:sz w:val="32"/>
          <w:szCs w:val="32"/>
          <w:lang w:eastAsia="zh-CN"/>
        </w:rPr>
      </w:pPr>
      <w:r>
        <w:rPr>
          <w:rFonts w:hint="eastAsia" w:ascii="楷体_GB2312" w:hAnsi="华文仿宋" w:eastAsia="楷体_GB2312" w:cs="宋体"/>
          <w:b/>
          <w:bCs w:val="0"/>
          <w:color w:val="000000"/>
          <w:kern w:val="0"/>
          <w:sz w:val="32"/>
          <w:szCs w:val="32"/>
          <w:lang w:val="en-US" w:eastAsia="zh-CN" w:bidi="ar-SA"/>
        </w:rPr>
        <w:t>（一）全额拨款事业单位</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lang w:eastAsia="zh-CN"/>
        </w:rPr>
        <w:t>个，是柳州市莲花山保护中心（柳州市三门江国家森林公园管理处）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pPr>
      <w:r>
        <w:rPr>
          <w:rFonts w:hint="eastAsia" w:ascii="仿宋_GB2312" w:hAnsi="仿宋_GB2312" w:eastAsia="仿宋_GB2312" w:cs="仿宋_GB2312"/>
          <w:color w:val="auto"/>
          <w:sz w:val="32"/>
          <w:szCs w:val="32"/>
          <w:lang w:val="en-US" w:eastAsia="zh-CN"/>
        </w:rPr>
        <w:t>根据《中共柳州市委办公室 柳州市人民政府办公室关于印发&lt;柳州市莲花山保护中心（柳州市三门江国家森林公园管理处）职能配置、内设机构和人员编制规定&gt;的通知》(柳办〔2019〕78号），</w:t>
      </w:r>
      <w:r>
        <w:rPr>
          <w:rFonts w:hint="eastAsia" w:ascii="仿宋_GB2312" w:hAnsi="仿宋_GB2312" w:eastAsia="仿宋_GB2312" w:cs="仿宋_GB2312"/>
          <w:color w:val="auto"/>
          <w:sz w:val="32"/>
          <w:szCs w:val="32"/>
          <w:lang w:eastAsia="zh-CN"/>
        </w:rPr>
        <w:t>内设</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个科室，分别为：</w:t>
      </w:r>
      <w:r>
        <w:rPr>
          <w:rFonts w:hint="eastAsia" w:ascii="仿宋_GB2312" w:hAnsi="仿宋_GB2312" w:eastAsia="仿宋_GB2312" w:cs="仿宋_GB2312"/>
          <w:color w:val="auto"/>
          <w:sz w:val="32"/>
          <w:szCs w:val="32"/>
        </w:rPr>
        <w:t>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计划财务科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生态保护修复科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法规事务科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安全防火管理科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旅游规划科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科普宣教科</w:t>
      </w:r>
      <w:r>
        <w:rPr>
          <w:rFonts w:hint="eastAsia" w:ascii="仿宋_GB2312" w:hAnsi="仿宋_GB2312" w:eastAsia="仿宋_GB2312" w:cs="仿宋_GB2312"/>
          <w:color w:val="auto"/>
          <w:sz w:val="32"/>
          <w:szCs w:val="32"/>
          <w:lang w:eastAsia="zh-CN"/>
        </w:rPr>
        <w:t>。</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 xml:space="preserve"> 202</w:t>
      </w:r>
      <w:r>
        <w:rPr>
          <w:rFonts w:hint="eastAsia" w:ascii="仿宋_GB2312" w:eastAsia="仿宋_GB2312"/>
          <w:b/>
          <w:sz w:val="32"/>
          <w:szCs w:val="32"/>
          <w:lang w:val="en-US" w:eastAsia="zh-CN"/>
        </w:rPr>
        <w:t>1</w:t>
      </w:r>
      <w:r>
        <w:rPr>
          <w:rFonts w:hint="eastAsia" w:ascii="仿宋_GB2312" w:eastAsia="仿宋_GB2312"/>
          <w:b/>
          <w:sz w:val="32"/>
          <w:szCs w:val="32"/>
        </w:rPr>
        <w:t>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
      <w:pPr>
        <w:jc w:val="both"/>
        <w:rPr>
          <w:rFonts w:hint="eastAsia" w:ascii="黑体" w:hAnsi="黑体" w:eastAsia="黑体"/>
          <w:sz w:val="32"/>
          <w:szCs w:val="32"/>
        </w:rPr>
      </w:pPr>
      <w:r>
        <w:rPr>
          <w:rFonts w:hint="eastAsia" w:ascii="黑体" w:hAnsi="黑体" w:eastAsia="黑体"/>
          <w:sz w:val="32"/>
          <w:szCs w:val="32"/>
        </w:rPr>
        <w:t>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lang w:val="en-US" w:eastAsia="zh-CN"/>
        </w:rPr>
        <w:t>柳州市莲花山保护中心</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3567.36</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3376.09</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514.07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16.84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default" w:ascii="仿宋_GB2312" w:hAnsi="Times New Roman"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1851.90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694.45</w:t>
      </w:r>
      <w:r>
        <w:rPr>
          <w:rFonts w:hint="eastAsia" w:ascii="仿宋_GB2312" w:hAnsi="黑体" w:eastAsia="仿宋_GB2312" w:cs="仿宋_GB2312"/>
          <w:kern w:val="0"/>
          <w:sz w:val="32"/>
          <w:szCs w:val="32"/>
        </w:rPr>
        <w:t>万元，下</w:t>
      </w:r>
      <w:r>
        <w:rPr>
          <w:rFonts w:hint="eastAsia" w:ascii="仿宋_GB2312" w:hAnsi="黑体" w:eastAsia="仿宋_GB2312" w:cs="仿宋_GB2312"/>
          <w:kern w:val="0"/>
          <w:sz w:val="32"/>
          <w:szCs w:val="32"/>
          <w:lang w:val="en-US" w:eastAsia="zh-CN"/>
        </w:rPr>
        <w:t>降27.27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林业发展扶持</w:t>
      </w:r>
      <w:r>
        <w:rPr>
          <w:rFonts w:hint="eastAsia" w:ascii="仿宋_GB2312" w:eastAsia="仿宋_GB2312" w:cs="仿宋_GB2312"/>
          <w:kern w:val="0"/>
          <w:sz w:val="32"/>
          <w:szCs w:val="32"/>
          <w:lang w:val="en-US" w:eastAsia="zh-CN"/>
        </w:rPr>
        <w:t>资</w:t>
      </w:r>
      <w:r>
        <w:rPr>
          <w:rFonts w:hint="eastAsia" w:ascii="仿宋_GB2312" w:hAnsi="Times New Roman" w:eastAsia="仿宋_GB2312" w:cs="仿宋_GB2312"/>
          <w:kern w:val="0"/>
          <w:sz w:val="32"/>
          <w:szCs w:val="32"/>
          <w:lang w:val="en-US" w:eastAsia="zh-CN"/>
        </w:rPr>
        <w:t>金从一</w:t>
      </w:r>
      <w:r>
        <w:rPr>
          <w:rFonts w:hint="eastAsia" w:ascii="仿宋_GB2312" w:hAnsi="Times New Roman" w:eastAsia="仿宋_GB2312" w:cs="仿宋_GB2312"/>
          <w:kern w:val="0"/>
          <w:sz w:val="32"/>
          <w:szCs w:val="32"/>
        </w:rPr>
        <w:t>般公共预算财政拨款收入</w:t>
      </w:r>
      <w:r>
        <w:rPr>
          <w:rFonts w:hint="eastAsia" w:ascii="仿宋_GB2312" w:hAnsi="Times New Roman" w:eastAsia="仿宋_GB2312" w:cs="仿宋_GB2312"/>
          <w:kern w:val="0"/>
          <w:sz w:val="32"/>
          <w:szCs w:val="32"/>
          <w:lang w:val="en-US" w:eastAsia="zh-CN"/>
        </w:rPr>
        <w:t>转为从</w:t>
      </w:r>
      <w:r>
        <w:rPr>
          <w:rFonts w:hint="eastAsia" w:ascii="仿宋_GB2312" w:hAnsi="Times New Roman" w:eastAsia="仿宋_GB2312" w:cs="仿宋_GB2312"/>
          <w:kern w:val="0"/>
          <w:sz w:val="32"/>
          <w:szCs w:val="32"/>
        </w:rPr>
        <w:t>政府性基金预算财政拨款</w:t>
      </w:r>
      <w:r>
        <w:rPr>
          <w:rFonts w:hint="eastAsia" w:ascii="仿宋_GB2312" w:hAnsi="Times New Roman" w:eastAsia="仿宋_GB2312" w:cs="仿宋_GB2312"/>
          <w:kern w:val="0"/>
          <w:sz w:val="32"/>
          <w:szCs w:val="32"/>
          <w:lang w:val="en-US" w:eastAsia="zh-CN"/>
        </w:rPr>
        <w:t>收入下达列支。</w:t>
      </w:r>
    </w:p>
    <w:p>
      <w:pPr>
        <w:autoSpaceDE w:val="0"/>
        <w:autoSpaceDN w:val="0"/>
        <w:adjustRightInd w:val="0"/>
        <w:spacing w:line="560" w:lineRule="exact"/>
        <w:ind w:firstLine="627" w:firstLineChars="196"/>
        <w:jc w:val="both"/>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2.政府性基金预算财政拨款收入</w:t>
      </w:r>
      <w:r>
        <w:rPr>
          <w:rFonts w:hint="eastAsia" w:ascii="仿宋_GB2312" w:hAnsi="Times New Roman" w:eastAsia="仿宋_GB2312" w:cs="仿宋_GB2312"/>
          <w:kern w:val="0"/>
          <w:sz w:val="32"/>
          <w:szCs w:val="32"/>
          <w:lang w:val="en-US" w:eastAsia="zh-CN"/>
        </w:rPr>
        <w:t>1457.86</w:t>
      </w:r>
      <w:r>
        <w:rPr>
          <w:rFonts w:hint="eastAsia" w:ascii="仿宋_GB2312" w:hAnsi="Times New Roman" w:eastAsia="仿宋_GB2312" w:cs="仿宋_GB2312"/>
          <w:kern w:val="0"/>
          <w:sz w:val="32"/>
          <w:szCs w:val="32"/>
        </w:rPr>
        <w:t>万元，为财政当年拨付的资金。较</w:t>
      </w:r>
      <w:r>
        <w:rPr>
          <w:rFonts w:hint="eastAsia" w:ascii="仿宋_GB2312" w:hAnsi="Times New Roman" w:eastAsia="仿宋_GB2312" w:cs="仿宋_GB2312"/>
          <w:kern w:val="0"/>
          <w:sz w:val="32"/>
          <w:szCs w:val="32"/>
          <w:lang w:eastAsia="zh-CN"/>
        </w:rPr>
        <w:t>2020</w:t>
      </w:r>
      <w:r>
        <w:rPr>
          <w:rFonts w:hint="eastAsia" w:ascii="仿宋_GB2312" w:hAnsi="Times New Roman" w:eastAsia="仿宋_GB2312" w:cs="仿宋_GB2312"/>
          <w:kern w:val="0"/>
          <w:sz w:val="32"/>
          <w:szCs w:val="32"/>
        </w:rPr>
        <w:t>年度决算数增加</w:t>
      </w:r>
      <w:r>
        <w:rPr>
          <w:rFonts w:hint="eastAsia" w:ascii="仿宋_GB2312" w:hAnsi="Times New Roman" w:eastAsia="仿宋_GB2312" w:cs="仿宋_GB2312"/>
          <w:kern w:val="0"/>
          <w:sz w:val="32"/>
          <w:szCs w:val="32"/>
          <w:lang w:val="en-US" w:eastAsia="zh-CN"/>
        </w:rPr>
        <w:t>1457.86</w:t>
      </w:r>
      <w:r>
        <w:rPr>
          <w:rFonts w:hint="eastAsia" w:ascii="仿宋_GB2312" w:hAnsi="Times New Roman" w:eastAsia="仿宋_GB2312" w:cs="仿宋_GB2312"/>
          <w:kern w:val="0"/>
          <w:sz w:val="32"/>
          <w:szCs w:val="32"/>
        </w:rPr>
        <w:t>万元，主要原因是</w:t>
      </w:r>
      <w:r>
        <w:rPr>
          <w:rFonts w:hint="eastAsia" w:ascii="仿宋_GB2312" w:hAnsi="Times New Roman" w:eastAsia="仿宋_GB2312" w:cs="仿宋_GB2312"/>
          <w:kern w:val="0"/>
          <w:sz w:val="32"/>
          <w:szCs w:val="32"/>
          <w:lang w:eastAsia="zh-CN"/>
        </w:rPr>
        <w:t>：一是</w:t>
      </w:r>
      <w:r>
        <w:rPr>
          <w:rFonts w:hint="eastAsia" w:ascii="仿宋_GB2312" w:hAnsi="Times New Roman" w:eastAsia="仿宋_GB2312" w:cs="仿宋_GB2312"/>
          <w:kern w:val="0"/>
          <w:sz w:val="32"/>
          <w:szCs w:val="32"/>
          <w:lang w:val="en-US" w:eastAsia="zh-CN"/>
        </w:rPr>
        <w:t>林业发展扶持</w:t>
      </w:r>
      <w:r>
        <w:rPr>
          <w:rFonts w:hint="eastAsia" w:ascii="仿宋_GB2312" w:eastAsia="仿宋_GB2312" w:cs="仿宋_GB2312"/>
          <w:kern w:val="0"/>
          <w:sz w:val="32"/>
          <w:szCs w:val="32"/>
          <w:lang w:val="en-US" w:eastAsia="zh-CN"/>
        </w:rPr>
        <w:t>资</w:t>
      </w:r>
      <w:r>
        <w:rPr>
          <w:rFonts w:hint="eastAsia" w:ascii="仿宋_GB2312" w:hAnsi="Times New Roman" w:eastAsia="仿宋_GB2312" w:cs="仿宋_GB2312"/>
          <w:kern w:val="0"/>
          <w:sz w:val="32"/>
          <w:szCs w:val="32"/>
          <w:lang w:val="en-US" w:eastAsia="zh-CN"/>
        </w:rPr>
        <w:t>金从一</w:t>
      </w:r>
      <w:r>
        <w:rPr>
          <w:rFonts w:hint="eastAsia" w:ascii="仿宋_GB2312" w:hAnsi="Times New Roman" w:eastAsia="仿宋_GB2312" w:cs="仿宋_GB2312"/>
          <w:kern w:val="0"/>
          <w:sz w:val="32"/>
          <w:szCs w:val="32"/>
        </w:rPr>
        <w:t>般公共预算财政拨款收入</w:t>
      </w:r>
      <w:r>
        <w:rPr>
          <w:rFonts w:hint="eastAsia" w:ascii="仿宋_GB2312" w:hAnsi="Times New Roman" w:eastAsia="仿宋_GB2312" w:cs="仿宋_GB2312"/>
          <w:kern w:val="0"/>
          <w:sz w:val="32"/>
          <w:szCs w:val="32"/>
          <w:lang w:val="en-US" w:eastAsia="zh-CN"/>
        </w:rPr>
        <w:t>转为从</w:t>
      </w:r>
      <w:r>
        <w:rPr>
          <w:rFonts w:hint="eastAsia" w:ascii="仿宋_GB2312" w:hAnsi="Times New Roman" w:eastAsia="仿宋_GB2312" w:cs="仿宋_GB2312"/>
          <w:kern w:val="0"/>
          <w:sz w:val="32"/>
          <w:szCs w:val="32"/>
        </w:rPr>
        <w:t>政府性基金预算财政拨款</w:t>
      </w:r>
      <w:r>
        <w:rPr>
          <w:rFonts w:hint="eastAsia" w:ascii="仿宋_GB2312" w:hAnsi="Times New Roman" w:eastAsia="仿宋_GB2312" w:cs="仿宋_GB2312"/>
          <w:kern w:val="0"/>
          <w:sz w:val="32"/>
          <w:szCs w:val="32"/>
          <w:lang w:val="en-US" w:eastAsia="zh-CN"/>
        </w:rPr>
        <w:t>收入下达列支；二是新增建筑垃圾清理前期经费。</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hAnsi="Times New Roman" w:eastAsia="仿宋_GB2312" w:cs="仿宋_GB2312"/>
          <w:kern w:val="0"/>
          <w:sz w:val="32"/>
          <w:szCs w:val="32"/>
        </w:rPr>
        <w:t>3.国</w:t>
      </w:r>
      <w:r>
        <w:rPr>
          <w:rFonts w:hint="eastAsia" w:ascii="仿宋_GB2312" w:eastAsia="仿宋_GB2312" w:cs="仿宋_GB2312"/>
          <w:kern w:val="0"/>
          <w:sz w:val="32"/>
          <w:szCs w:val="32"/>
        </w:rPr>
        <w:t>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66.32</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42.06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38.81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Times New Roman" w:hAnsi="Times New Roman" w:eastAsia="仿宋_GB2312" w:cs="Times New Roman"/>
          <w:color w:val="auto"/>
          <w:sz w:val="32"/>
          <w:szCs w:val="32"/>
          <w:lang w:val="en-US" w:eastAsia="zh-CN"/>
        </w:rPr>
        <w:t>本级横向转拨财政款减少</w:t>
      </w:r>
      <w:r>
        <w:rPr>
          <w:rFonts w:hint="eastAsia" w:eastAsia="仿宋_GB2312" w:cs="Times New Roman"/>
          <w:color w:val="auto"/>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191.27</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207.29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52.01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Times New Roman" w:hAnsi="Times New Roman" w:eastAsia="仿宋_GB2312" w:cs="Times New Roman"/>
          <w:color w:val="auto"/>
          <w:sz w:val="32"/>
          <w:szCs w:val="32"/>
          <w:lang w:val="en-US" w:eastAsia="zh-CN"/>
        </w:rPr>
        <w:t>单位加强预算执行率</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减少资金结余</w:t>
      </w:r>
      <w:r>
        <w:rPr>
          <w:rFonts w:hint="eastAsia" w:eastAsia="仿宋_GB2312" w:cs="Times New Roman"/>
          <w:color w:val="auto"/>
          <w:sz w:val="32"/>
          <w:szCs w:val="32"/>
          <w:lang w:val="en-US"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3567.36</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3499.64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514.07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16.84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社会保障和就业支出</w:t>
      </w:r>
      <w:r>
        <w:rPr>
          <w:rFonts w:hint="eastAsia" w:ascii="仿宋_GB2312" w:eastAsia="仿宋_GB2312"/>
          <w:kern w:val="0"/>
          <w:sz w:val="32"/>
          <w:szCs w:val="32"/>
          <w:lang w:val="en-US" w:eastAsia="zh-CN"/>
        </w:rPr>
        <w:t>86.80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在职人员的</w:t>
      </w:r>
      <w:r>
        <w:rPr>
          <w:rFonts w:hint="eastAsia" w:ascii="仿宋_GB2312" w:eastAsia="仿宋_GB2312" w:cs="仿宋_GB2312"/>
          <w:bCs/>
          <w:color w:val="000000" w:themeColor="text1"/>
          <w:kern w:val="0"/>
          <w:sz w:val="32"/>
          <w:szCs w:val="32"/>
          <w:highlight w:val="none"/>
          <w14:textFill>
            <w14:solidFill>
              <w14:schemeClr w14:val="tx1"/>
            </w14:solidFill>
          </w14:textFill>
        </w:rPr>
        <w:t>养老</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保险</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和职业年金</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缴费。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22.42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34.82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一是新增4名在编人员；二是年度社保基数调整，支出相应增长。</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2.卫生健康支出25.32万元，主要用于在职人员的基本医疗保险缴费。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6.41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33.90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一是新增4名在编人员；二是年度社保基数调整，支出相应增长。</w:t>
      </w:r>
    </w:p>
    <w:p>
      <w:pPr>
        <w:autoSpaceDE w:val="0"/>
        <w:autoSpaceDN w:val="0"/>
        <w:adjustRightInd w:val="0"/>
        <w:spacing w:line="560" w:lineRule="exact"/>
        <w:ind w:firstLine="627" w:firstLineChars="196"/>
        <w:jc w:val="left"/>
        <w:rPr>
          <w:rFonts w:hint="default" w:ascii="仿宋_GB2312" w:hAnsi="仿宋" w:eastAsia="仿宋_GB2312" w:cs="仿宋"/>
          <w:color w:val="auto"/>
          <w:sz w:val="32"/>
          <w:szCs w:val="32"/>
          <w:lang w:val="en-US" w:eastAsia="zh-CN"/>
        </w:rPr>
      </w:pPr>
      <w:r>
        <w:rPr>
          <w:rFonts w:hint="eastAsia" w:ascii="仿宋_GB2312" w:hAnsi="黑体" w:eastAsia="仿宋_GB2312" w:cs="仿宋_GB2312"/>
          <w:color w:val="auto"/>
          <w:kern w:val="0"/>
          <w:sz w:val="32"/>
          <w:szCs w:val="32"/>
          <w:lang w:val="en-US" w:eastAsia="zh-CN"/>
        </w:rPr>
        <w:t>3.城乡社区支出3189.36万元，主要用于城乡社区规划与管理，城乡社区环境卫生，</w:t>
      </w:r>
      <w:r>
        <w:rPr>
          <w:rFonts w:hint="eastAsia" w:ascii="仿宋_GB2312" w:hAnsi="黑体" w:eastAsia="仿宋_GB2312" w:cs="仿宋_GB2312"/>
          <w:color w:val="auto"/>
          <w:kern w:val="0"/>
          <w:sz w:val="32"/>
          <w:szCs w:val="32"/>
          <w:lang w:eastAsia="zh-CN"/>
        </w:rPr>
        <w:t>国有土地使用权出让收入安排的支出。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709.30</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28.60</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一是新增2021年莲花山保护区整体规划研究编制费；二是新增</w:t>
      </w:r>
      <w:r>
        <w:rPr>
          <w:rFonts w:hint="eastAsia" w:ascii="仿宋_GB2312" w:hAnsi="仿宋" w:eastAsia="仿宋_GB2312" w:cs="仿宋"/>
          <w:color w:val="auto"/>
          <w:sz w:val="32"/>
          <w:szCs w:val="32"/>
          <w:lang w:val="en-US" w:eastAsia="zh-CN"/>
        </w:rPr>
        <w:t>莲花山保护范围迹地生态修复经费，园区日常管理和维护经费增长，以及莲花山片区日常工作经费增长；三是支付2021年林业发展扶持资金增长，以及新增2021年建筑垃圾清理前期经费</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both"/>
        <w:rPr>
          <w:rFonts w:hint="default" w:ascii="仿宋_GB2312" w:hAnsi="黑体" w:eastAsia="仿宋_GB2312" w:cs="仿宋_GB2312"/>
          <w:color w:val="auto"/>
          <w:kern w:val="0"/>
          <w:sz w:val="32"/>
          <w:szCs w:val="32"/>
          <w:lang w:val="en-US" w:eastAsia="zh-CN"/>
        </w:rPr>
      </w:pPr>
      <w:r>
        <w:rPr>
          <w:rFonts w:hint="eastAsia" w:ascii="仿宋_GB2312" w:hAnsi="仿宋" w:eastAsia="仿宋_GB2312" w:cs="仿宋"/>
          <w:color w:val="auto"/>
          <w:sz w:val="32"/>
          <w:szCs w:val="32"/>
          <w:lang w:val="en-US" w:eastAsia="zh-CN"/>
        </w:rPr>
        <w:t>4.农林水支出149.66万元，主要用于森林资源管理，其他林业和草原支出，涉及松材线虫病防控经费，莲花山保护范围人文资源调查工作经费等项目开展。</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val="en-US" w:eastAsia="zh-CN"/>
        </w:rPr>
        <w:t>减少46.32</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val="en-US" w:eastAsia="zh-CN"/>
        </w:rPr>
        <w:t>下降23.64</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：莲花山保护范围人文资源调查工作经费、莲花山三区标识界桩建设项目（一期）建设等项目</w:t>
      </w:r>
      <w:r>
        <w:rPr>
          <w:rFonts w:hint="eastAsia" w:ascii="仿宋_GB2312" w:hAnsi="黑体" w:eastAsia="仿宋_GB2312" w:cs="仿宋_GB2312"/>
          <w:color w:val="auto"/>
          <w:kern w:val="0"/>
          <w:sz w:val="32"/>
          <w:szCs w:val="32"/>
          <w:lang w:val="en-US" w:eastAsia="zh-CN"/>
        </w:rPr>
        <w:t>完成。</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hAnsi="仿宋" w:eastAsia="仿宋_GB2312" w:cs="仿宋"/>
          <w:color w:val="auto"/>
          <w:sz w:val="32"/>
          <w:szCs w:val="32"/>
          <w:lang w:val="en-US" w:eastAsia="zh-CN"/>
        </w:rPr>
        <w:t>5.住房保障支出48.50万元，主要用于在职人员的住房公积金费用缴纳。</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11.90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32.51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一是新增4名在编人员；二是年度社保基数调整，支出相应增长。</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67.72</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189.65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73.69</w:t>
      </w:r>
      <w:r>
        <w:rPr>
          <w:rFonts w:hint="eastAsia" w:ascii="仿宋_GB2312" w:hAnsi="黑体" w:eastAsia="仿宋_GB2312" w:cs="仿宋_GB2312"/>
          <w:kern w:val="0"/>
          <w:sz w:val="32"/>
          <w:szCs w:val="32"/>
        </w:rPr>
        <w:t>%，主要原因是</w:t>
      </w:r>
      <w:r>
        <w:rPr>
          <w:rFonts w:hint="eastAsia" w:ascii="Times New Roman" w:hAnsi="Times New Roman" w:eastAsia="仿宋_GB2312" w:cs="Times New Roman"/>
          <w:color w:val="auto"/>
          <w:sz w:val="32"/>
          <w:szCs w:val="32"/>
          <w:lang w:val="en-US" w:eastAsia="zh-CN"/>
        </w:rPr>
        <w:t>单位加强预算执行率</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减少资金结余</w:t>
      </w:r>
      <w:r>
        <w:rPr>
          <w:rFonts w:hint="eastAsia" w:eastAsia="仿宋_GB2312" w:cs="Times New Roman"/>
          <w:color w:val="auto"/>
          <w:sz w:val="32"/>
          <w:szCs w:val="32"/>
          <w:lang w:val="en-US"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1895.34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780.27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29.16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629.68</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1265.65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1758.72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1895.34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107.77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bCs/>
          <w:kern w:val="0"/>
          <w:sz w:val="32"/>
          <w:szCs w:val="32"/>
        </w:rPr>
      </w:pPr>
      <w:r>
        <w:rPr>
          <w:rFonts w:hint="eastAsia" w:ascii="仿宋_GB2312" w:eastAsia="仿宋_GB2312" w:cs="仿宋_GB2312"/>
          <w:bCs/>
          <w:color w:val="000000" w:themeColor="text1"/>
          <w:kern w:val="0"/>
          <w:sz w:val="32"/>
          <w:szCs w:val="32"/>
          <w:highlight w:val="none"/>
          <w14:textFill>
            <w14:solidFill>
              <w14:schemeClr w14:val="tx1"/>
            </w14:solidFill>
          </w14:textFill>
        </w:rPr>
        <w:t>社会保障和就业支出（类）行政事业单位养老支出</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（款）机关</w:t>
      </w:r>
      <w:r>
        <w:rPr>
          <w:rFonts w:hint="eastAsia" w:ascii="仿宋_GB2312" w:eastAsia="仿宋_GB2312" w:cs="仿宋_GB2312"/>
          <w:bCs/>
          <w:color w:val="000000" w:themeColor="text1"/>
          <w:kern w:val="0"/>
          <w:sz w:val="32"/>
          <w:szCs w:val="32"/>
          <w:highlight w:val="none"/>
          <w14:textFill>
            <w14:solidFill>
              <w14:schemeClr w14:val="tx1"/>
            </w14:solidFill>
          </w14:textFill>
        </w:rPr>
        <w:t>事业单位养老</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保险缴费支出（项）。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50.26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57.86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115.12</w:t>
      </w:r>
      <w:r>
        <w:rPr>
          <w:rFonts w:hint="eastAsia" w:ascii="仿宋_GB2312" w:hAnsi="黑体" w:eastAsia="仿宋_GB2312" w:cs="仿宋_GB2312"/>
          <w:kern w:val="0"/>
          <w:sz w:val="32"/>
          <w:szCs w:val="32"/>
        </w:rPr>
        <w:t xml:space="preserve"> %。</w:t>
      </w:r>
      <w:r>
        <w:rPr>
          <w:rFonts w:hint="eastAsia" w:ascii="仿宋_GB2312" w:eastAsia="仿宋_GB2312" w:cs="仿宋_GB2312"/>
          <w:bCs/>
          <w:color w:val="000000" w:themeColor="text1"/>
          <w:kern w:val="0"/>
          <w:sz w:val="32"/>
          <w:szCs w:val="32"/>
          <w:highlight w:val="none"/>
          <w14:textFill>
            <w14:solidFill>
              <w14:schemeClr w14:val="tx1"/>
            </w14:solidFill>
          </w14:textFill>
        </w:rPr>
        <w:t>主要原因是年中预算追加，主要涉及人员变动经费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bCs/>
          <w:color w:val="000000" w:themeColor="text1"/>
          <w:kern w:val="0"/>
          <w:sz w:val="32"/>
          <w:szCs w:val="32"/>
          <w:highlight w:val="none"/>
          <w14:textFill>
            <w14:solidFill>
              <w14:schemeClr w14:val="tx1"/>
            </w14:solidFill>
          </w14:textFill>
        </w:rPr>
        <w:t>社会保障和就业支出（类）行政事业单位养老支出</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（款）机关事业单位职业年金缴费支出（项）。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25.13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28.93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115.12</w:t>
      </w:r>
      <w:r>
        <w:rPr>
          <w:rFonts w:hint="eastAsia" w:ascii="仿宋_GB2312" w:hAnsi="黑体" w:eastAsia="仿宋_GB2312" w:cs="仿宋_GB2312"/>
          <w:kern w:val="0"/>
          <w:sz w:val="32"/>
          <w:szCs w:val="32"/>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主要原因是年中预算追加，主要涉及人员变动经费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bCs/>
          <w:color w:val="000000" w:themeColor="text1"/>
          <w:kern w:val="0"/>
          <w:sz w:val="32"/>
          <w:szCs w:val="32"/>
          <w:highlight w:val="none"/>
          <w14:textFill>
            <w14:solidFill>
              <w14:schemeClr w14:val="tx1"/>
            </w14:solidFill>
          </w14:textFill>
        </w:rPr>
        <w:t>卫生健康支出（类）行政事业单位医疗</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w:t>
      </w:r>
      <w:r>
        <w:rPr>
          <w:rFonts w:hint="eastAsia" w:ascii="仿宋_GB2312" w:eastAsia="仿宋_GB2312" w:cs="仿宋_GB2312"/>
          <w:bCs/>
          <w:color w:val="000000" w:themeColor="text1"/>
          <w:kern w:val="0"/>
          <w:sz w:val="32"/>
          <w:szCs w:val="32"/>
          <w:highlight w:val="none"/>
          <w14:textFill>
            <w14:solidFill>
              <w14:schemeClr w14:val="tx1"/>
            </w14:solidFill>
          </w14:textFill>
        </w:rPr>
        <w:t>事业单位医疗</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24.76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25.32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102.26</w:t>
      </w:r>
      <w:r>
        <w:rPr>
          <w:rFonts w:hint="eastAsia" w:ascii="仿宋_GB2312" w:hAnsi="黑体" w:eastAsia="仿宋_GB2312" w:cs="仿宋_GB2312"/>
          <w:kern w:val="0"/>
          <w:sz w:val="32"/>
          <w:szCs w:val="32"/>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主要原因是年中预算追加，主要涉及人员变动经费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bCs/>
          <w:color w:val="000000" w:themeColor="text1"/>
          <w:kern w:val="0"/>
          <w:sz w:val="32"/>
          <w:szCs w:val="32"/>
          <w:highlight w:val="none"/>
          <w14:textFill>
            <w14:solidFill>
              <w14:schemeClr w14:val="tx1"/>
            </w14:solidFill>
          </w14:textFill>
        </w:rPr>
        <w:t>城乡社区支出（类）城乡社区规划与管理</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（款）城乡社区规划与管理（项）。年初预算数为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0万元，支出决算为47.06万元。主要原因是年中追加预算，按实际工作执行，主要用于2021年莲花山保护区整体规划研究编制费。</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bCs/>
          <w:color w:val="000000" w:themeColor="text1"/>
          <w:kern w:val="0"/>
          <w:sz w:val="32"/>
          <w:szCs w:val="32"/>
          <w:highlight w:val="none"/>
          <w14:textFill>
            <w14:solidFill>
              <w14:schemeClr w14:val="tx1"/>
            </w14:solidFill>
          </w14:textFill>
        </w:rPr>
        <w:t>城乡社区支出（类）</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城乡社区环境卫生</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（款）城乡社区环境卫生（项）。年初</w:t>
      </w:r>
      <w:r>
        <w:rPr>
          <w:rFonts w:hint="eastAsia" w:ascii="仿宋_GB2312" w:eastAsia="仿宋_GB2312" w:cs="仿宋_GB2312"/>
          <w:bCs/>
          <w:color w:val="000000" w:themeColor="text1"/>
          <w:kern w:val="0"/>
          <w:sz w:val="32"/>
          <w:szCs w:val="32"/>
          <w:highlight w:val="none"/>
          <w14:textFill>
            <w14:solidFill>
              <w14:schemeClr w14:val="tx1"/>
            </w14:solidFill>
          </w14:textFill>
        </w:rPr>
        <w:t>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1620.61</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1684.08</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万元，完成年初预算的</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103.92</w:t>
      </w:r>
      <w:r>
        <w:rPr>
          <w:rFonts w:hint="eastAsia" w:ascii="仿宋_GB2312" w:eastAsia="仿宋_GB2312" w:cs="仿宋_GB2312"/>
          <w:bCs/>
          <w:color w:val="000000" w:themeColor="text1"/>
          <w:kern w:val="0"/>
          <w:sz w:val="32"/>
          <w:szCs w:val="32"/>
          <w:highlight w:val="none"/>
          <w14:textFill>
            <w14:solidFill>
              <w14:schemeClr w14:val="tx1"/>
            </w14:solidFill>
          </w14:textFill>
        </w:rPr>
        <w:t>%。主要原因是年中预算追加，主要涉及人员变动经费</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等</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，以及使用上年结转结余。</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农林水支出</w:t>
      </w:r>
      <w:r>
        <w:rPr>
          <w:rFonts w:hint="eastAsia" w:ascii="仿宋_GB2312" w:eastAsia="仿宋_GB2312" w:cs="仿宋_GB2312"/>
          <w:bCs/>
          <w:color w:val="000000" w:themeColor="text1"/>
          <w:kern w:val="0"/>
          <w:sz w:val="32"/>
          <w:szCs w:val="32"/>
          <w:highlight w:val="none"/>
          <w14:textFill>
            <w14:solidFill>
              <w14:schemeClr w14:val="tx1"/>
            </w14:solidFill>
          </w14:textFill>
        </w:rPr>
        <w:t>（类）</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林业和草原</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森林资源管理</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0.27</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0.27万元，完成年初预算的100%。决算数等于预算数。</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农林水支出</w:t>
      </w:r>
      <w:r>
        <w:rPr>
          <w:rFonts w:hint="eastAsia" w:ascii="仿宋_GB2312" w:eastAsia="仿宋_GB2312" w:cs="仿宋_GB2312"/>
          <w:bCs/>
          <w:color w:val="000000" w:themeColor="text1"/>
          <w:kern w:val="0"/>
          <w:sz w:val="32"/>
          <w:szCs w:val="32"/>
          <w:highlight w:val="none"/>
          <w14:textFill>
            <w14:solidFill>
              <w14:schemeClr w14:val="tx1"/>
            </w14:solidFill>
          </w14:textFill>
        </w:rPr>
        <w:t>（类）</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林业和草原</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（款）其他林业和草原（项）。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3.30万元</w:t>
      </w:r>
      <w:r>
        <w:rPr>
          <w:rFonts w:hint="eastAsia" w:ascii="仿宋_GB2312" w:eastAsia="仿宋_GB2312" w:cs="仿宋_GB2312"/>
          <w:bCs/>
          <w:color w:val="000000" w:themeColor="text1"/>
          <w:kern w:val="0"/>
          <w:sz w:val="32"/>
          <w:szCs w:val="32"/>
          <w:highlight w:val="none"/>
          <w14:textFill>
            <w14:solidFill>
              <w14:schemeClr w14:val="tx1"/>
            </w14:solidFill>
          </w14:textFill>
        </w:rPr>
        <w:t>。主要原因是年中</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预算</w:t>
      </w:r>
      <w:r>
        <w:rPr>
          <w:rFonts w:hint="eastAsia" w:ascii="仿宋_GB2312" w:eastAsia="仿宋_GB2312" w:cs="仿宋_GB2312"/>
          <w:bCs/>
          <w:color w:val="000000" w:themeColor="text1"/>
          <w:kern w:val="0"/>
          <w:sz w:val="32"/>
          <w:szCs w:val="32"/>
          <w:highlight w:val="none"/>
          <w14:textFill>
            <w14:solidFill>
              <w14:schemeClr w14:val="tx1"/>
            </w14:solidFill>
          </w14:textFill>
        </w:rPr>
        <w:t>追加</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莲花山保护范围人文资源调查工作经费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bCs/>
          <w:color w:val="000000" w:themeColor="text1"/>
          <w:kern w:val="0"/>
          <w:sz w:val="32"/>
          <w:szCs w:val="32"/>
          <w:highlight w:val="none"/>
          <w14:textFill>
            <w14:solidFill>
              <w14:schemeClr w14:val="tx1"/>
            </w14:solidFill>
          </w14:textFill>
        </w:rPr>
        <w:t>住房保障支出（类）</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住房改革支出（款）住房公积金（项）。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37.70</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48.50</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万元，完成年初预算的</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128.65</w:t>
      </w:r>
      <w:r>
        <w:rPr>
          <w:rFonts w:hint="eastAsia" w:ascii="仿宋_GB2312" w:eastAsia="仿宋_GB2312" w:cs="仿宋_GB2312"/>
          <w:bCs/>
          <w:color w:val="000000" w:themeColor="text1"/>
          <w:kern w:val="0"/>
          <w:sz w:val="32"/>
          <w:szCs w:val="32"/>
          <w:highlight w:val="none"/>
          <w14:textFill>
            <w14:solidFill>
              <w14:schemeClr w14:val="tx1"/>
            </w14:solidFill>
          </w14:textFill>
        </w:rPr>
        <w:t>%。主要原因是年中预算追加，主要涉及人员变动经费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w:t>
      </w:r>
      <w:r>
        <w:rPr>
          <w:rFonts w:hint="eastAsia" w:ascii="仿宋_GB2312" w:eastAsia="仿宋_GB2312" w:cs="仿宋_GB2312"/>
          <w:kern w:val="0"/>
          <w:sz w:val="32"/>
          <w:szCs w:val="32"/>
          <w:lang w:val="en-US" w:eastAsia="zh-CN"/>
        </w:rPr>
        <w:t>出629.68</w:t>
      </w:r>
      <w:r>
        <w:rPr>
          <w:rFonts w:hint="eastAsia" w:ascii="仿宋_GB2312" w:eastAsia="仿宋_GB2312" w:cs="仿宋_GB2312"/>
          <w:kern w:val="0"/>
          <w:sz w:val="32"/>
          <w:szCs w:val="32"/>
        </w:rPr>
        <w:t>万元，支出具体情况如下：</w:t>
      </w:r>
    </w:p>
    <w:p>
      <w:pPr>
        <w:numPr>
          <w:ilvl w:val="0"/>
          <w:numId w:val="2"/>
        </w:numPr>
        <w:autoSpaceDE w:val="0"/>
        <w:autoSpaceDN w:val="0"/>
        <w:adjustRightInd w:val="0"/>
        <w:spacing w:line="560" w:lineRule="exact"/>
        <w:ind w:left="-10" w:leftChars="0" w:firstLine="640" w:firstLineChars="0"/>
        <w:jc w:val="both"/>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592.61</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127.63</w:t>
      </w:r>
      <w:r>
        <w:rPr>
          <w:rFonts w:hint="eastAsia" w:ascii="仿宋_GB2312" w:eastAsia="仿宋_GB2312"/>
          <w:bCs/>
          <w:kern w:val="0"/>
          <w:sz w:val="32"/>
          <w:szCs w:val="32"/>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主要原因</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一</w:t>
      </w:r>
      <w:r>
        <w:rPr>
          <w:rFonts w:hint="eastAsia" w:ascii="仿宋_GB2312" w:eastAsia="仿宋_GB2312" w:cs="仿宋_GB2312"/>
          <w:bCs/>
          <w:color w:val="000000" w:themeColor="text1"/>
          <w:kern w:val="0"/>
          <w:sz w:val="32"/>
          <w:szCs w:val="32"/>
          <w:highlight w:val="none"/>
          <w14:textFill>
            <w14:solidFill>
              <w14:schemeClr w14:val="tx1"/>
            </w14:solidFill>
          </w14:textFill>
        </w:rPr>
        <w:t>是</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新增4名在编人员，二是</w:t>
      </w:r>
      <w:r>
        <w:rPr>
          <w:rFonts w:hint="eastAsia" w:ascii="仿宋_GB2312" w:eastAsia="仿宋_GB2312" w:cs="仿宋_GB2312"/>
          <w:bCs/>
          <w:color w:val="000000" w:themeColor="text1"/>
          <w:kern w:val="0"/>
          <w:sz w:val="32"/>
          <w:szCs w:val="32"/>
          <w:highlight w:val="none"/>
          <w14:textFill>
            <w14:solidFill>
              <w14:schemeClr w14:val="tx1"/>
            </w14:solidFill>
          </w14:textFill>
        </w:rPr>
        <w:t>年中预算追加，涉及人员变动经费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numPr>
          <w:ilvl w:val="0"/>
          <w:numId w:val="2"/>
        </w:numPr>
        <w:autoSpaceDE w:val="0"/>
        <w:autoSpaceDN w:val="0"/>
        <w:adjustRightInd w:val="0"/>
        <w:spacing w:line="560" w:lineRule="exact"/>
        <w:ind w:left="-10" w:leftChars="0" w:firstLine="640" w:firstLineChars="0"/>
        <w:jc w:val="both"/>
        <w:rPr>
          <w:rFonts w:hint="default" w:ascii="仿宋_GB2312" w:eastAsia="仿宋_GB2312"/>
          <w:bCs/>
          <w:kern w:val="0"/>
          <w:sz w:val="32"/>
          <w:szCs w:val="32"/>
          <w:lang w:val="en-US"/>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36.06</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83.86</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主要原因是会议费、业务招待费按实际工作开展支出。</w:t>
      </w:r>
    </w:p>
    <w:p>
      <w:pPr>
        <w:numPr>
          <w:ilvl w:val="0"/>
          <w:numId w:val="2"/>
        </w:numPr>
        <w:autoSpaceDE w:val="0"/>
        <w:autoSpaceDN w:val="0"/>
        <w:adjustRightInd w:val="0"/>
        <w:spacing w:line="560" w:lineRule="exact"/>
        <w:ind w:left="-10" w:leftChars="0" w:firstLine="640" w:firstLineChars="0"/>
        <w:jc w:val="both"/>
        <w:rPr>
          <w:rFonts w:hint="eastAsia" w:ascii="黑体" w:hAnsi="黑体" w:eastAsia="黑体" w:cs="仿宋_GB2312"/>
          <w:kern w:val="0"/>
          <w:sz w:val="32"/>
          <w:szCs w:val="32"/>
        </w:rPr>
      </w:pPr>
      <w:r>
        <w:rPr>
          <w:rFonts w:hint="default" w:ascii="仿宋_GB2312" w:eastAsia="仿宋_GB2312"/>
          <w:bCs/>
          <w:kern w:val="0"/>
          <w:sz w:val="32"/>
          <w:szCs w:val="32"/>
          <w:lang w:val="en-US"/>
        </w:rPr>
        <w:t>对个人和家庭的补助</w:t>
      </w:r>
      <w:r>
        <w:rPr>
          <w:rFonts w:hint="eastAsia" w:ascii="仿宋_GB2312" w:eastAsia="仿宋_GB2312"/>
          <w:bCs/>
          <w:kern w:val="0"/>
          <w:sz w:val="32"/>
          <w:szCs w:val="32"/>
          <w:lang w:val="en-US" w:eastAsia="zh-CN"/>
        </w:rPr>
        <w:t>0.05万元。</w:t>
      </w:r>
    </w:p>
    <w:p>
      <w:pPr>
        <w:numPr>
          <w:ilvl w:val="0"/>
          <w:numId w:val="2"/>
        </w:numPr>
        <w:autoSpaceDE w:val="0"/>
        <w:autoSpaceDN w:val="0"/>
        <w:adjustRightInd w:val="0"/>
        <w:spacing w:line="560" w:lineRule="exact"/>
        <w:ind w:left="-10" w:leftChars="0" w:firstLine="640" w:firstLineChars="0"/>
        <w:jc w:val="both"/>
        <w:rPr>
          <w:rFonts w:hint="eastAsia" w:ascii="黑体" w:hAnsi="黑体" w:eastAsia="黑体" w:cs="仿宋_GB2312"/>
          <w:kern w:val="0"/>
          <w:sz w:val="32"/>
          <w:szCs w:val="32"/>
        </w:rPr>
      </w:pPr>
      <w:r>
        <w:rPr>
          <w:rFonts w:hint="eastAsia" w:ascii="仿宋_GB2312" w:eastAsia="仿宋_GB2312"/>
          <w:bCs/>
          <w:kern w:val="0"/>
          <w:sz w:val="32"/>
          <w:szCs w:val="32"/>
          <w:lang w:val="en-US" w:eastAsia="zh-CN"/>
        </w:rPr>
        <w:t>资本性支出0.97万元。</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1457.86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1457.86</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1457.86</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1457.86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其中：</w:t>
      </w:r>
    </w:p>
    <w:p>
      <w:pPr>
        <w:numPr>
          <w:ilvl w:val="0"/>
          <w:numId w:val="3"/>
        </w:numPr>
        <w:autoSpaceDE w:val="0"/>
        <w:autoSpaceDN w:val="0"/>
        <w:adjustRightInd w:val="0"/>
        <w:spacing w:line="580" w:lineRule="exact"/>
        <w:ind w:firstLine="320" w:firstLineChars="1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城市建设支出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1413</w:t>
      </w:r>
      <w:r>
        <w:rPr>
          <w:rFonts w:hint="eastAsia" w:ascii="仿宋_GB2312" w:eastAsia="仿宋_GB2312" w:cs="仿宋_GB2312"/>
          <w:bCs/>
          <w:kern w:val="0"/>
          <w:sz w:val="32"/>
          <w:szCs w:val="32"/>
        </w:rPr>
        <w:t>万元。主要</w:t>
      </w:r>
      <w:r>
        <w:rPr>
          <w:rFonts w:hint="eastAsia" w:ascii="仿宋_GB2312" w:eastAsia="仿宋_GB2312" w:cs="仿宋_GB2312"/>
          <w:bCs/>
          <w:kern w:val="0"/>
          <w:sz w:val="32"/>
          <w:szCs w:val="32"/>
          <w:lang w:val="en-US" w:eastAsia="zh-CN"/>
        </w:rPr>
        <w:t>用于支付林业发展扶持资金</w:t>
      </w:r>
      <w:r>
        <w:rPr>
          <w:rFonts w:hint="eastAsia" w:ascii="仿宋_GB2312" w:eastAsia="仿宋_GB2312" w:cs="仿宋_GB2312"/>
          <w:bCs/>
          <w:kern w:val="0"/>
          <w:sz w:val="32"/>
          <w:szCs w:val="32"/>
          <w:lang w:eastAsia="zh-CN"/>
        </w:rPr>
        <w:t>。</w:t>
      </w:r>
    </w:p>
    <w:p>
      <w:pPr>
        <w:numPr>
          <w:ilvl w:val="0"/>
          <w:numId w:val="3"/>
        </w:numPr>
        <w:autoSpaceDE w:val="0"/>
        <w:autoSpaceDN w:val="0"/>
        <w:adjustRightInd w:val="0"/>
        <w:spacing w:line="580" w:lineRule="exact"/>
        <w:ind w:firstLine="320" w:firstLineChars="1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 xml:space="preserve"> 其他国有土地使用权出让收入安排的支出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44.86</w:t>
      </w:r>
      <w:r>
        <w:rPr>
          <w:rFonts w:hint="eastAsia" w:ascii="仿宋_GB2312" w:eastAsia="仿宋_GB2312" w:cs="仿宋_GB2312"/>
          <w:bCs/>
          <w:kern w:val="0"/>
          <w:sz w:val="32"/>
          <w:szCs w:val="32"/>
        </w:rPr>
        <w:t>万元。主要</w:t>
      </w:r>
      <w:r>
        <w:rPr>
          <w:rFonts w:hint="eastAsia" w:ascii="仿宋_GB2312" w:eastAsia="仿宋_GB2312" w:cs="仿宋_GB2312"/>
          <w:bCs/>
          <w:kern w:val="0"/>
          <w:sz w:val="32"/>
          <w:szCs w:val="32"/>
          <w:lang w:val="en-US" w:eastAsia="zh-CN"/>
        </w:rPr>
        <w:t>用于支付莲花山保护区域范围内的违规建筑垃圾清理费用</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柳州市莲花山保护中心</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0.25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18.84</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val="en-US" w:eastAsia="zh-CN"/>
        </w:rPr>
        <w:t>加0.02</w:t>
      </w:r>
      <w:r>
        <w:rPr>
          <w:rFonts w:hint="eastAsia" w:ascii="仿宋_GB2312" w:eastAsia="仿宋_GB2312" w:cs="仿宋_GB2312"/>
          <w:kern w:val="0"/>
          <w:sz w:val="32"/>
          <w:szCs w:val="32"/>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0.25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0.25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18.84</w:t>
      </w:r>
      <w:r>
        <w:rPr>
          <w:rFonts w:hint="eastAsia" w:ascii="仿宋_GB2312" w:eastAsia="仿宋_GB2312" w:cs="仿宋_GB2312"/>
          <w:kern w:val="0"/>
          <w:sz w:val="32"/>
          <w:szCs w:val="32"/>
        </w:rPr>
        <w:t>%，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0.02</w:t>
      </w:r>
      <w:r>
        <w:rPr>
          <w:rFonts w:hint="eastAsia" w:ascii="仿宋_GB2312" w:eastAsia="仿宋_GB2312" w:cs="仿宋_GB2312"/>
          <w:kern w:val="0"/>
          <w:sz w:val="32"/>
          <w:szCs w:val="32"/>
        </w:rPr>
        <w:t>万元。国内</w:t>
      </w:r>
      <w:r>
        <w:rPr>
          <w:rFonts w:hint="eastAsia" w:ascii="仿宋_GB2312" w:hAnsi="仿宋" w:eastAsia="仿宋_GB2312"/>
          <w:sz w:val="32"/>
          <w:szCs w:val="32"/>
          <w:lang w:val="en-US" w:eastAsia="zh-CN"/>
        </w:rPr>
        <w:t>公务接待批次为3次，公务接待人数为24人</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本部门无机关运行经费支出。</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800.97</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18.37</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782.61</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800.97</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796.96</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99.50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both"/>
        <w:rPr>
          <w:rFonts w:hint="eastAsia" w:ascii="仿宋_GB2312" w:eastAsia="仿宋_GB2312" w:cs="仿宋_GB2312"/>
          <w:b/>
          <w:kern w:val="0"/>
          <w:sz w:val="32"/>
          <w:szCs w:val="32"/>
        </w:rPr>
      </w:pPr>
      <w:r>
        <w:rPr>
          <w:rFonts w:hint="eastAsia" w:ascii="仿宋_GB2312" w:eastAsia="仿宋_GB2312" w:cs="仿宋_GB2312"/>
          <w:color w:val="auto"/>
          <w:kern w:val="0"/>
          <w:sz w:val="32"/>
          <w:szCs w:val="32"/>
        </w:rPr>
        <w:t>截</w:t>
      </w:r>
      <w:r>
        <w:rPr>
          <w:rFonts w:hint="eastAsia" w:ascii="仿宋_GB2312" w:eastAsia="仿宋_GB2312" w:cs="仿宋_GB2312"/>
          <w:color w:val="auto"/>
          <w:kern w:val="0"/>
          <w:sz w:val="32"/>
          <w:szCs w:val="32"/>
          <w:lang w:val="en-US" w:eastAsia="zh-CN"/>
        </w:rPr>
        <w:t>至</w:t>
      </w:r>
      <w:bookmarkStart w:id="0" w:name="_GoBack"/>
      <w:bookmarkEnd w:id="0"/>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年12月31日，本部门共有车辆</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辆，其中：公务用车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辆；执法执勤用车</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辆；专业技术用车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辆；其他用车</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辆，其他用车主要是</w:t>
      </w:r>
      <w:r>
        <w:rPr>
          <w:rFonts w:hint="eastAsia" w:ascii="仿宋_GB2312" w:eastAsia="仿宋_GB2312" w:cs="仿宋_GB2312"/>
          <w:color w:val="auto"/>
          <w:kern w:val="0"/>
          <w:sz w:val="32"/>
          <w:szCs w:val="32"/>
          <w:lang w:val="en-US" w:eastAsia="zh-CN"/>
        </w:rPr>
        <w:t>2辆运输车，1辆洒水车，4辆观光车，1辆森林防火运兵车</w:t>
      </w:r>
      <w:r>
        <w:rPr>
          <w:rFonts w:hint="eastAsia" w:ascii="仿宋_GB2312" w:eastAsia="仿宋_GB2312" w:cs="仿宋_GB2312"/>
          <w:color w:val="auto"/>
          <w:kern w:val="0"/>
          <w:sz w:val="32"/>
          <w:szCs w:val="32"/>
        </w:rPr>
        <w:t>；单价50万元 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台（套），单价100 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1007.13</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81.42</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对</w:t>
      </w:r>
      <w:r>
        <w:rPr>
          <w:rFonts w:hint="eastAsia" w:ascii="仿宋_GB2312" w:eastAsia="仿宋_GB2312" w:cs="仿宋_GB2312"/>
          <w:kern w:val="0"/>
          <w:sz w:val="32"/>
          <w:szCs w:val="32"/>
        </w:rPr>
        <w:t>政府性基金预算项目支出</w:t>
      </w:r>
      <w:r>
        <w:rPr>
          <w:rFonts w:hint="eastAsia" w:ascii="仿宋_GB2312" w:eastAsia="仿宋_GB2312" w:cs="仿宋_GB2312"/>
          <w:kern w:val="0"/>
          <w:sz w:val="32"/>
          <w:szCs w:val="32"/>
          <w:lang w:val="en-US" w:eastAsia="zh-CN"/>
        </w:rPr>
        <w:t>未</w:t>
      </w:r>
      <w:r>
        <w:rPr>
          <w:rFonts w:hint="eastAsia" w:ascii="仿宋_GB2312" w:eastAsia="仿宋_GB2312" w:cs="仿宋_GB2312"/>
          <w:kern w:val="0"/>
          <w:sz w:val="32"/>
          <w:szCs w:val="32"/>
        </w:rPr>
        <w:t>开展绩效自评，</w:t>
      </w:r>
      <w:r>
        <w:rPr>
          <w:rFonts w:hint="eastAsia" w:ascii="仿宋_GB2312" w:eastAsia="仿宋_GB2312" w:cs="仿宋_GB2312"/>
          <w:kern w:val="0"/>
          <w:sz w:val="32"/>
          <w:szCs w:val="32"/>
          <w:lang w:val="en-US" w:eastAsia="zh-CN"/>
        </w:rPr>
        <w:t>原因是</w:t>
      </w:r>
      <w:r>
        <w:rPr>
          <w:rFonts w:hint="eastAsia" w:ascii="仿宋_GB2312" w:eastAsia="仿宋_GB2312" w:cs="仿宋_GB2312"/>
          <w:kern w:val="0"/>
          <w:sz w:val="32"/>
          <w:szCs w:val="32"/>
        </w:rPr>
        <w:t>政府性基金预算项目支出</w:t>
      </w:r>
      <w:r>
        <w:rPr>
          <w:rFonts w:hint="eastAsia" w:ascii="仿宋_GB2312" w:eastAsia="仿宋_GB2312" w:cs="仿宋_GB2312"/>
          <w:kern w:val="0"/>
          <w:sz w:val="32"/>
          <w:szCs w:val="32"/>
          <w:lang w:val="en-US" w:eastAsia="zh-CN"/>
        </w:rPr>
        <w:t>未纳入绩效自评范围，资金主要用于按协议直接支付林业发展扶持资金</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共组织</w:t>
      </w:r>
      <w:r>
        <w:rPr>
          <w:rFonts w:hint="eastAsia" w:ascii="仿宋_GB2312" w:eastAsia="仿宋_GB2312" w:cs="仿宋_GB2312"/>
          <w:kern w:val="0"/>
          <w:sz w:val="32"/>
          <w:szCs w:val="32"/>
        </w:rPr>
        <w:t>对“</w:t>
      </w:r>
      <w:r>
        <w:rPr>
          <w:rFonts w:hint="eastAsia" w:ascii="仿宋_GB2312" w:eastAsia="仿宋_GB2312" w:cs="仿宋_GB2312"/>
          <w:kern w:val="0"/>
          <w:sz w:val="32"/>
          <w:szCs w:val="32"/>
          <w:lang w:val="en-US" w:eastAsia="zh-CN"/>
        </w:rPr>
        <w:t>莲花山保护范围迹地生态修复”、“绿化养护”、“聘用人员工资及福利经费”、“森林公园保洁”、“治安辅助服务费”</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个项目进行了绩效评价，涉及一般公共预算支出</w:t>
      </w:r>
      <w:r>
        <w:rPr>
          <w:rFonts w:hint="eastAsia" w:ascii="仿宋_GB2312" w:eastAsia="仿宋_GB2312" w:cs="仿宋_GB2312"/>
          <w:kern w:val="0"/>
          <w:sz w:val="32"/>
          <w:szCs w:val="32"/>
          <w:lang w:val="en-US" w:eastAsia="zh-CN"/>
        </w:rPr>
        <w:t>921.48</w:t>
      </w:r>
      <w:r>
        <w:rPr>
          <w:rFonts w:hint="eastAsia" w:ascii="仿宋_GB2312" w:eastAsia="仿宋_GB2312" w:cs="仿宋_GB2312"/>
          <w:kern w:val="0"/>
          <w:sz w:val="32"/>
          <w:szCs w:val="32"/>
        </w:rPr>
        <w:t>万元。从评价情况来看，</w:t>
      </w:r>
      <w:r>
        <w:rPr>
          <w:rFonts w:hint="eastAsia" w:ascii="仿宋_GB2312" w:eastAsia="仿宋_GB2312" w:cs="仿宋_GB2312"/>
          <w:kern w:val="0"/>
          <w:sz w:val="32"/>
          <w:szCs w:val="32"/>
          <w:lang w:val="en-US" w:eastAsia="zh-CN"/>
        </w:rPr>
        <w:t>以上项目对</w:t>
      </w:r>
      <w:r>
        <w:rPr>
          <w:rFonts w:hint="eastAsia" w:ascii="仿宋_GB2312" w:eastAsia="仿宋_GB2312" w:cs="仿宋_GB2312"/>
          <w:kern w:val="0"/>
          <w:sz w:val="32"/>
          <w:szCs w:val="32"/>
        </w:rPr>
        <w:t>森林公园的建设经营和生态环境保护工作，维持公园正常运行及持续发展，提升森林质量和生态效益，取得了较好的社会效益。</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hint="eastAsia" w:ascii="仿宋_GB2312" w:eastAsia="仿宋_GB2312" w:cs="仿宋_GB2312"/>
          <w:kern w:val="0"/>
          <w:sz w:val="32"/>
          <w:szCs w:val="32"/>
          <w:lang w:val="en-US" w:eastAsia="zh-CN"/>
        </w:rPr>
        <w:t>森林公园保洁</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99</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发现主要问题。</w:t>
      </w:r>
      <w:r>
        <w:rPr>
          <w:rFonts w:hint="eastAsia" w:ascii="仿宋_GB2312" w:eastAsia="仿宋_GB2312" w:cs="仿宋_GB2312"/>
          <w:kern w:val="0"/>
          <w:sz w:val="32"/>
          <w:szCs w:val="32"/>
          <w:lang w:val="en-US" w:eastAsia="zh-CN"/>
        </w:rPr>
        <w:t>莲花山保护范围迹地生态修复</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99</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发现主要问题。</w:t>
      </w:r>
      <w:r>
        <w:rPr>
          <w:rFonts w:hint="eastAsia" w:ascii="仿宋_GB2312" w:eastAsia="仿宋_GB2312" w:cs="仿宋_GB2312"/>
          <w:kern w:val="0"/>
          <w:sz w:val="32"/>
          <w:szCs w:val="32"/>
          <w:lang w:val="en-US" w:eastAsia="zh-CN"/>
        </w:rPr>
        <w:t>绿化养护</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99</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发现主要问题。</w:t>
      </w:r>
      <w:r>
        <w:rPr>
          <w:rFonts w:hint="eastAsia" w:ascii="仿宋_GB2312" w:eastAsia="仿宋_GB2312" w:cs="仿宋_GB2312"/>
          <w:kern w:val="0"/>
          <w:sz w:val="32"/>
          <w:szCs w:val="32"/>
          <w:lang w:val="en-US" w:eastAsia="zh-CN"/>
        </w:rPr>
        <w:t>聘用人员工资及福利经费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97</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发现主要问题。</w:t>
      </w:r>
      <w:r>
        <w:rPr>
          <w:rFonts w:hint="eastAsia" w:ascii="仿宋_GB2312" w:eastAsia="仿宋_GB2312" w:cs="仿宋_GB2312"/>
          <w:kern w:val="0"/>
          <w:sz w:val="32"/>
          <w:szCs w:val="32"/>
          <w:lang w:val="en-US" w:eastAsia="zh-CN"/>
        </w:rPr>
        <w:t>治安辅助服务费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97.6</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发现主要问题。</w:t>
      </w:r>
    </w:p>
    <w:p>
      <w:pPr>
        <w:spacing w:line="580" w:lineRule="exact"/>
        <w:ind w:firstLine="645"/>
        <w:jc w:val="both"/>
        <w:rPr>
          <w:rFonts w:ascii="仿宋_GB2312" w:eastAsia="仿宋_GB2312"/>
          <w:b/>
          <w:sz w:val="32"/>
          <w:szCs w:val="32"/>
        </w:rPr>
      </w:pPr>
      <w:r>
        <w:rPr>
          <w:rFonts w:hint="eastAsia" w:ascii="仿宋_GB2312" w:eastAsia="仿宋_GB2312"/>
          <w:b/>
          <w:sz w:val="32"/>
          <w:szCs w:val="32"/>
        </w:rPr>
        <w:t>第四部分：名词解释</w:t>
      </w:r>
    </w:p>
    <w:p>
      <w:pPr>
        <w:ind w:firstLine="640"/>
        <w:jc w:val="both"/>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jc w:val="both"/>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jc w:val="both"/>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jc w:val="both"/>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jc w:val="both"/>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both"/>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jc w:val="both"/>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jc w:val="both"/>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jc w:val="both"/>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jc w:val="both"/>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jc w:val="both"/>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jc w:val="both"/>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both"/>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both"/>
        <w:rPr>
          <w:rFonts w:hint="eastAsia" w:ascii="仿宋_GB2312" w:eastAsia="仿宋_GB2312" w:cs="仿宋_GB2312"/>
          <w:kern w:val="0"/>
          <w:sz w:val="32"/>
          <w:szCs w:val="32"/>
        </w:rPr>
      </w:pPr>
    </w:p>
    <w:p>
      <w:pPr>
        <w:ind w:firstLine="640" w:firstLineChars="200"/>
        <w:jc w:val="both"/>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9C1E"/>
    <w:multiLevelType w:val="singleLevel"/>
    <w:tmpl w:val="87289C1E"/>
    <w:lvl w:ilvl="0" w:tentative="0">
      <w:start w:val="1"/>
      <w:numFmt w:val="chineseCounting"/>
      <w:suff w:val="nothing"/>
      <w:lvlText w:val="（%1）"/>
      <w:lvlJc w:val="left"/>
      <w:rPr>
        <w:rFonts w:hint="eastAsia"/>
      </w:rPr>
    </w:lvl>
  </w:abstractNum>
  <w:abstractNum w:abstractNumId="1">
    <w:nsid w:val="B9EA83AD"/>
    <w:multiLevelType w:val="singleLevel"/>
    <w:tmpl w:val="B9EA83AD"/>
    <w:lvl w:ilvl="0" w:tentative="0">
      <w:start w:val="1"/>
      <w:numFmt w:val="chineseCounting"/>
      <w:suff w:val="nothing"/>
      <w:lvlText w:val="（%1）"/>
      <w:lvlJc w:val="left"/>
      <w:pPr>
        <w:ind w:left="-10"/>
      </w:pPr>
      <w:rPr>
        <w:rFonts w:hint="eastAsia" w:ascii="仿宋" w:hAnsi="仿宋" w:eastAsia="仿宋" w:cs="仿宋"/>
        <w:b w:val="0"/>
        <w:bCs w:val="0"/>
      </w:rPr>
    </w:lvl>
  </w:abstractNum>
  <w:abstractNum w:abstractNumId="2">
    <w:nsid w:val="E8894926"/>
    <w:multiLevelType w:val="singleLevel"/>
    <w:tmpl w:val="E889492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2D5418"/>
    <w:rsid w:val="003A17B7"/>
    <w:rsid w:val="006C1367"/>
    <w:rsid w:val="00715385"/>
    <w:rsid w:val="00F66C5B"/>
    <w:rsid w:val="01F062A0"/>
    <w:rsid w:val="020B6A0C"/>
    <w:rsid w:val="052A53FB"/>
    <w:rsid w:val="05352423"/>
    <w:rsid w:val="059A2557"/>
    <w:rsid w:val="060634E8"/>
    <w:rsid w:val="0672433D"/>
    <w:rsid w:val="073C31C4"/>
    <w:rsid w:val="075D03A8"/>
    <w:rsid w:val="075D58BE"/>
    <w:rsid w:val="08CE0B51"/>
    <w:rsid w:val="094B45FA"/>
    <w:rsid w:val="0A0C33E4"/>
    <w:rsid w:val="0B424B1D"/>
    <w:rsid w:val="0B5331D2"/>
    <w:rsid w:val="0C8C664D"/>
    <w:rsid w:val="0DA86951"/>
    <w:rsid w:val="0E074DDF"/>
    <w:rsid w:val="0F026AA1"/>
    <w:rsid w:val="0F0F5ED6"/>
    <w:rsid w:val="0F587009"/>
    <w:rsid w:val="10437371"/>
    <w:rsid w:val="10857989"/>
    <w:rsid w:val="11406595"/>
    <w:rsid w:val="11C91AF8"/>
    <w:rsid w:val="122C2897"/>
    <w:rsid w:val="124204B5"/>
    <w:rsid w:val="1461426A"/>
    <w:rsid w:val="14A405FA"/>
    <w:rsid w:val="14F016D4"/>
    <w:rsid w:val="153E0A4F"/>
    <w:rsid w:val="15823E15"/>
    <w:rsid w:val="1612602D"/>
    <w:rsid w:val="16B90A0F"/>
    <w:rsid w:val="16C531D6"/>
    <w:rsid w:val="177E15D6"/>
    <w:rsid w:val="180D7172"/>
    <w:rsid w:val="182962AB"/>
    <w:rsid w:val="189B3AC2"/>
    <w:rsid w:val="18ED0620"/>
    <w:rsid w:val="19467ED2"/>
    <w:rsid w:val="19D073EB"/>
    <w:rsid w:val="19EE425D"/>
    <w:rsid w:val="1A1B4EBB"/>
    <w:rsid w:val="1A650904"/>
    <w:rsid w:val="1CC31F67"/>
    <w:rsid w:val="1CDD6D9F"/>
    <w:rsid w:val="1CFD598E"/>
    <w:rsid w:val="1DAD174D"/>
    <w:rsid w:val="1DD95EAC"/>
    <w:rsid w:val="1E7B24F7"/>
    <w:rsid w:val="1FD77E29"/>
    <w:rsid w:val="2249565E"/>
    <w:rsid w:val="231B5F2B"/>
    <w:rsid w:val="23452067"/>
    <w:rsid w:val="239A1546"/>
    <w:rsid w:val="23B94610"/>
    <w:rsid w:val="243339CF"/>
    <w:rsid w:val="24D337DC"/>
    <w:rsid w:val="24E4247E"/>
    <w:rsid w:val="25897AC4"/>
    <w:rsid w:val="25B1723A"/>
    <w:rsid w:val="25BD7F29"/>
    <w:rsid w:val="26036053"/>
    <w:rsid w:val="26460DBA"/>
    <w:rsid w:val="27900B35"/>
    <w:rsid w:val="28F3758D"/>
    <w:rsid w:val="293A0119"/>
    <w:rsid w:val="295647E3"/>
    <w:rsid w:val="2B0F45C8"/>
    <w:rsid w:val="2B6F74EB"/>
    <w:rsid w:val="2BE121FF"/>
    <w:rsid w:val="2C1F0B15"/>
    <w:rsid w:val="2C4219FE"/>
    <w:rsid w:val="2D6B6D1F"/>
    <w:rsid w:val="2E2A1EBD"/>
    <w:rsid w:val="2EA75B0A"/>
    <w:rsid w:val="2F754C15"/>
    <w:rsid w:val="2FCA6D0F"/>
    <w:rsid w:val="31707C28"/>
    <w:rsid w:val="31917CE2"/>
    <w:rsid w:val="32B141B6"/>
    <w:rsid w:val="32BA750F"/>
    <w:rsid w:val="335718FE"/>
    <w:rsid w:val="34020F86"/>
    <w:rsid w:val="341361ED"/>
    <w:rsid w:val="34DE083C"/>
    <w:rsid w:val="35445961"/>
    <w:rsid w:val="354E2FF6"/>
    <w:rsid w:val="358362DE"/>
    <w:rsid w:val="35C97A69"/>
    <w:rsid w:val="369B31B3"/>
    <w:rsid w:val="38DD7AB3"/>
    <w:rsid w:val="391D07F7"/>
    <w:rsid w:val="39A63F06"/>
    <w:rsid w:val="39DF5AAD"/>
    <w:rsid w:val="3A46553B"/>
    <w:rsid w:val="3AAF7125"/>
    <w:rsid w:val="3AEC66D3"/>
    <w:rsid w:val="3AFA0DF0"/>
    <w:rsid w:val="3B2C7764"/>
    <w:rsid w:val="3B840D1E"/>
    <w:rsid w:val="3BE72CAF"/>
    <w:rsid w:val="3C017E2C"/>
    <w:rsid w:val="3C6523E7"/>
    <w:rsid w:val="3D520F49"/>
    <w:rsid w:val="3DC05237"/>
    <w:rsid w:val="3DC70D32"/>
    <w:rsid w:val="3DCF37D0"/>
    <w:rsid w:val="3E6F4772"/>
    <w:rsid w:val="3E7041CD"/>
    <w:rsid w:val="3EA872B2"/>
    <w:rsid w:val="3ECE2BE7"/>
    <w:rsid w:val="3ED1439F"/>
    <w:rsid w:val="3F2C3542"/>
    <w:rsid w:val="3F891394"/>
    <w:rsid w:val="3FB456CB"/>
    <w:rsid w:val="402C1320"/>
    <w:rsid w:val="406D5BC1"/>
    <w:rsid w:val="41717932"/>
    <w:rsid w:val="418F1B67"/>
    <w:rsid w:val="41AF7178"/>
    <w:rsid w:val="41E225DE"/>
    <w:rsid w:val="41E40104"/>
    <w:rsid w:val="42235D58"/>
    <w:rsid w:val="42312C1E"/>
    <w:rsid w:val="42E45EE2"/>
    <w:rsid w:val="44500BF5"/>
    <w:rsid w:val="45BF39BE"/>
    <w:rsid w:val="46565349"/>
    <w:rsid w:val="47F43786"/>
    <w:rsid w:val="48240E5D"/>
    <w:rsid w:val="48374EDC"/>
    <w:rsid w:val="487B44F8"/>
    <w:rsid w:val="496023CC"/>
    <w:rsid w:val="49883A6B"/>
    <w:rsid w:val="4B7177F6"/>
    <w:rsid w:val="4C256E3D"/>
    <w:rsid w:val="4C4A325A"/>
    <w:rsid w:val="4CB15087"/>
    <w:rsid w:val="4CB52F0F"/>
    <w:rsid w:val="4CD7763D"/>
    <w:rsid w:val="4D636AF3"/>
    <w:rsid w:val="4D9E72F0"/>
    <w:rsid w:val="4E2875DF"/>
    <w:rsid w:val="4E615FE8"/>
    <w:rsid w:val="4EAD5D22"/>
    <w:rsid w:val="4F7F321A"/>
    <w:rsid w:val="505E72D4"/>
    <w:rsid w:val="5065562C"/>
    <w:rsid w:val="50C04C3A"/>
    <w:rsid w:val="50F160FA"/>
    <w:rsid w:val="50F35421"/>
    <w:rsid w:val="51081151"/>
    <w:rsid w:val="51114346"/>
    <w:rsid w:val="511F7EED"/>
    <w:rsid w:val="51307E71"/>
    <w:rsid w:val="52AE5AA8"/>
    <w:rsid w:val="532F1F9A"/>
    <w:rsid w:val="53962412"/>
    <w:rsid w:val="55CB540B"/>
    <w:rsid w:val="563F1955"/>
    <w:rsid w:val="565C7A6A"/>
    <w:rsid w:val="56FB0FB3"/>
    <w:rsid w:val="595E69D6"/>
    <w:rsid w:val="5AA933EE"/>
    <w:rsid w:val="5CFF2D93"/>
    <w:rsid w:val="5DBB25AC"/>
    <w:rsid w:val="5E995A3E"/>
    <w:rsid w:val="5F0F45D7"/>
    <w:rsid w:val="5F933EA7"/>
    <w:rsid w:val="5F95061E"/>
    <w:rsid w:val="5FB011CE"/>
    <w:rsid w:val="5FC1266C"/>
    <w:rsid w:val="60076477"/>
    <w:rsid w:val="605129B1"/>
    <w:rsid w:val="617E254E"/>
    <w:rsid w:val="62163194"/>
    <w:rsid w:val="624D024D"/>
    <w:rsid w:val="6283706E"/>
    <w:rsid w:val="638D663E"/>
    <w:rsid w:val="64D15656"/>
    <w:rsid w:val="650E086A"/>
    <w:rsid w:val="65493030"/>
    <w:rsid w:val="65A36AAB"/>
    <w:rsid w:val="67D04899"/>
    <w:rsid w:val="67EE0585"/>
    <w:rsid w:val="68092E60"/>
    <w:rsid w:val="68C51EE9"/>
    <w:rsid w:val="69244F76"/>
    <w:rsid w:val="697A08A2"/>
    <w:rsid w:val="69DF2DDC"/>
    <w:rsid w:val="6B621B6E"/>
    <w:rsid w:val="6B8B5DEF"/>
    <w:rsid w:val="6BAA0708"/>
    <w:rsid w:val="6D974E96"/>
    <w:rsid w:val="6DE426F8"/>
    <w:rsid w:val="6EFA79A3"/>
    <w:rsid w:val="70046E9D"/>
    <w:rsid w:val="70D051C8"/>
    <w:rsid w:val="71665B90"/>
    <w:rsid w:val="720D24B0"/>
    <w:rsid w:val="72231A60"/>
    <w:rsid w:val="72AD20E8"/>
    <w:rsid w:val="73286802"/>
    <w:rsid w:val="738E404F"/>
    <w:rsid w:val="73E8676B"/>
    <w:rsid w:val="743631A3"/>
    <w:rsid w:val="74AC4D8B"/>
    <w:rsid w:val="7560689C"/>
    <w:rsid w:val="75AF6C8B"/>
    <w:rsid w:val="77474C4B"/>
    <w:rsid w:val="776B3F01"/>
    <w:rsid w:val="776E1C43"/>
    <w:rsid w:val="77C24432"/>
    <w:rsid w:val="77EA3F86"/>
    <w:rsid w:val="78453AA6"/>
    <w:rsid w:val="79850A81"/>
    <w:rsid w:val="7A4D3D91"/>
    <w:rsid w:val="7B694BFB"/>
    <w:rsid w:val="7C405ED3"/>
    <w:rsid w:val="7CDD764F"/>
    <w:rsid w:val="7D6103B5"/>
    <w:rsid w:val="7D8775BA"/>
    <w:rsid w:val="7D913F95"/>
    <w:rsid w:val="7DE24FE7"/>
    <w:rsid w:val="7E2963EC"/>
    <w:rsid w:val="7E7A413F"/>
    <w:rsid w:val="7E925766"/>
    <w:rsid w:val="7E9401E1"/>
    <w:rsid w:val="7F31106B"/>
    <w:rsid w:val="7F6D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5584</Words>
  <Characters>6206</Characters>
  <Lines>60</Lines>
  <Paragraphs>17</Paragraphs>
  <TotalTime>4</TotalTime>
  <ScaleCrop>false</ScaleCrop>
  <LinksUpToDate>false</LinksUpToDate>
  <CharactersWithSpaces>6229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2022-07-26T06:57:00Z</cp:lastPrinted>
  <dcterms:modified xsi:type="dcterms:W3CDTF">2022-08-24T08:11:40Z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0E646ECB4B9C4A8B8A54ABAA36868D2A</vt:lpwstr>
  </property>
</Properties>
</file>