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pacing w:val="-20"/>
          <w:sz w:val="52"/>
          <w:szCs w:val="52"/>
        </w:rPr>
      </w:pPr>
      <w:r>
        <w:rPr>
          <w:rFonts w:hint="eastAsia" w:ascii="黑体" w:eastAsia="黑体" w:cs="ArialUnicodeMS"/>
          <w:spacing w:val="-20"/>
          <w:kern w:val="0"/>
          <w:sz w:val="52"/>
          <w:szCs w:val="52"/>
        </w:rPr>
        <w:t>中国国民党革命委员会柳州市</w:t>
      </w:r>
      <w:r>
        <w:rPr>
          <w:rFonts w:hint="eastAsia" w:ascii="黑体" w:hAnsi="黑体" w:eastAsia="黑体"/>
          <w:bCs/>
          <w:color w:val="000000"/>
          <w:spacing w:val="-20"/>
          <w:sz w:val="52"/>
          <w:szCs w:val="52"/>
        </w:rPr>
        <w:t>委员会</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中国国民党革命委员会柳州市委员会</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中国国民党革命委员会柳州市委员会</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firstLine="640" w:firstLineChars="200"/>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中国国民党革命委员会柳州市委员会</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中国国民党革命委员会柳州市委员会</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widowControl/>
        <w:shd w:val="clear" w:color="auto" w:fill="FFFFFF"/>
        <w:spacing w:line="360" w:lineRule="auto"/>
        <w:ind w:firstLine="601"/>
        <w:rPr>
          <w:rFonts w:ascii="Tahoma" w:hAnsi="Tahoma" w:cs="Tahoma"/>
          <w:kern w:val="0"/>
          <w:sz w:val="24"/>
        </w:rPr>
      </w:pPr>
      <w:r>
        <w:rPr>
          <w:rFonts w:hint="eastAsia" w:ascii="仿宋_GB2312" w:hAnsi="Tahoma" w:eastAsia="仿宋_GB2312" w:cs="Tahoma"/>
          <w:kern w:val="0"/>
          <w:sz w:val="32"/>
          <w:szCs w:val="32"/>
        </w:rPr>
        <w:t>中国国民党革命委员会（简称“民革”），是具有政治联盟性质的、致力于建设中国特色社会主义和祖国统一事业的政党，是中国共产党领导的多党合作和政治协商制度中的中国特色社会主义参政党。</w:t>
      </w:r>
    </w:p>
    <w:p>
      <w:pPr>
        <w:widowControl/>
        <w:shd w:val="clear" w:color="auto" w:fill="FFFFFF"/>
        <w:spacing w:line="420" w:lineRule="atLeast"/>
        <w:ind w:firstLine="640" w:firstLineChars="200"/>
        <w:rPr>
          <w:rFonts w:ascii="Tahoma" w:hAnsi="Tahoma" w:cs="Tahoma"/>
          <w:kern w:val="0"/>
          <w:sz w:val="24"/>
        </w:rPr>
      </w:pPr>
      <w:r>
        <w:rPr>
          <w:rFonts w:hint="eastAsia" w:ascii="仿宋_GB2312" w:hAnsi="Tahoma" w:eastAsia="仿宋_GB2312" w:cs="Tahoma"/>
          <w:kern w:val="0"/>
          <w:sz w:val="32"/>
          <w:szCs w:val="32"/>
        </w:rPr>
        <w:t>民革坚持中国特色社会主义道路，以邓小平理论、“三个代表”重要思想、科学发展观、习近平新时代中国特色社会主义思想为指导，继承和发扬孙中山爱国、革命、不断进步精神，切实履行参政党职能。民革的基本职能是参政议政、民主监督、参加中国共产党领导的政治协商。民革坚持以经济建设为中心、科学发展为主题，紧紧围绕加快完善社会主义市场经济体制、加快转变经济发展方式，统筹推进“五位一体”总体布局，协调推进“四个全面”战略布局，坚持创新、协调、绿色、开放、共享的发展理念参政议政。</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sz w:val="32"/>
          <w:szCs w:val="32"/>
        </w:rPr>
      </w:pPr>
      <w:r>
        <w:rPr>
          <w:rFonts w:hint="eastAsia" w:ascii="仿宋_GB2312" w:hAnsi="Tahoma" w:eastAsia="仿宋_GB2312" w:cs="Tahoma"/>
          <w:sz w:val="32"/>
          <w:szCs w:val="32"/>
        </w:rPr>
        <w:t>中国国民党革命委员会柳州市委员会（简称“民革柳州市委会”）成立于1954年2月。目前，民革柳州市委会共设置3个职能科室，具体为：办公室、组织科、宣传科。现有编制数9名。单位在职职工实际使用编制数为9人。</w:t>
      </w:r>
    </w:p>
    <w:p>
      <w:pPr>
        <w:jc w:val="center"/>
      </w:pPr>
    </w:p>
    <w:p>
      <w:pPr>
        <w:jc w:val="center"/>
      </w:pPr>
    </w:p>
    <w:p>
      <w:pPr>
        <w:jc w:val="center"/>
      </w:pPr>
    </w:p>
    <w:p>
      <w:pPr>
        <w:jc w:val="center"/>
      </w:pPr>
    </w:p>
    <w:p>
      <w:pPr>
        <w:jc w:val="center"/>
      </w:pPr>
    </w:p>
    <w:p>
      <w:pPr>
        <w:jc w:val="cente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中国国民党革命委员会柳州市委员会</w:t>
      </w:r>
      <w:r>
        <w:rPr>
          <w:rFonts w:hint="eastAsia" w:ascii="仿宋_GB2312" w:eastAsia="仿宋_GB2312"/>
          <w:b/>
          <w:sz w:val="32"/>
          <w:szCs w:val="32"/>
        </w:rPr>
        <w:t xml:space="preserve"> 2019年部门决算报表</w:t>
      </w:r>
    </w:p>
    <w:p>
      <w:pPr>
        <w:jc w:val="center"/>
      </w:pPr>
      <w:r>
        <w:rPr>
          <w:rFonts w:hint="eastAsia" w:ascii="仿宋_GB2312" w:hAnsi="Tahoma" w:eastAsia="仿宋_GB2312" w:cs="Tahoma"/>
          <w:sz w:val="32"/>
          <w:szCs w:val="32"/>
        </w:rPr>
        <w:t>（详见附件）</w:t>
      </w:r>
    </w:p>
    <w:p>
      <w:pPr>
        <w:spacing w:line="56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中国国民党革命委员会柳州市委员会</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2019年度收入总计192.35万元，2019年度支出总计192.35万元，与2018年相比，收、支分别减少4.35万元、4.35万元，分别下降2.21%、2.21%。下降的主要原因：压减2019年部门预算一般性支出。</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本年收入总计192.35万元 ，其中：一般公共预算财政拨款收入184.50万元；占比95.92% ；</w:t>
      </w:r>
      <w:r>
        <w:rPr>
          <w:rFonts w:hint="eastAsia" w:ascii="仿宋_GB2312" w:hAnsi="Tahoma" w:eastAsia="仿宋_GB2312" w:cs="Tahoma"/>
          <w:sz w:val="32"/>
          <w:szCs w:val="32"/>
        </w:rPr>
        <w:t>年初结转和结余</w:t>
      </w:r>
      <w:r>
        <w:rPr>
          <w:rFonts w:hint="eastAsia" w:ascii="仿宋_GB2312" w:eastAsia="仿宋_GB2312" w:cs="仿宋_GB2312"/>
          <w:bCs/>
          <w:kern w:val="0"/>
          <w:sz w:val="32"/>
          <w:szCs w:val="32"/>
        </w:rPr>
        <w:t>7.85万元，占比4.08%。</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本年支出合计192.35万元，其中：基本支出150.86万元，占78.43%；项目支出36.56万元，占19.01%；年末结转与结余4.92万元，占2.56%。</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2019年度财政拨款收、支总决算192.35万元、192.35万元。与2018年相比，财政拨款收、支总计各减少4.35万元，下降2.21%。下降的主要原因：压减2019年部门预算一般性支出。</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部门2019年度财政拨款支出187.42万元，占本年支出合计的97.44%。与2018年相比，财政拨款支出减少1.28万元，下降0.68%。下降的主要原因：压减2019年部门预算一般性支出。</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财政拨款支出187.42万元，主要用于以下方面：一般公共服务（类）支出139.38万元，占74.37%；社会保障和就业（类）支出20.21万元，占10.78%；医疗卫生与计划生育（类）支出17.52万元，占9.35%；住房保障（类）支出10.31万元，占5.5%。</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年度财政拨款支出年初预算为155.7万元，支出决算为187.42万元，完成年初预算的120.37%。决算数大于预算数的主要原因：一是年中追加安排财政拨款支出预算，涉及项目</w:t>
      </w:r>
      <w:r>
        <w:rPr>
          <w:rFonts w:hint="eastAsia" w:ascii="仿宋_GB2312" w:hAnsi="Tahoma" w:eastAsia="仿宋_GB2312" w:cs="仿宋_GB2312"/>
          <w:bCs/>
          <w:sz w:val="32"/>
          <w:szCs w:val="32"/>
        </w:rPr>
        <w:t>有补发2018年度绩效考评奖励、2018年考核优秀奖励、预发2019年度绩效考评奖励、增人增资、下达柳州市中山中学开办资金、补2018年7月-2020年6月公务员医疗补助等</w:t>
      </w:r>
      <w:r>
        <w:rPr>
          <w:rFonts w:hint="eastAsia" w:ascii="仿宋_GB2312" w:eastAsia="仿宋_GB2312" w:cs="仿宋_GB2312"/>
          <w:bCs/>
          <w:kern w:val="0"/>
          <w:sz w:val="32"/>
          <w:szCs w:val="32"/>
        </w:rPr>
        <w:t xml:space="preserve">；二是部分支出按规定，通过使用以前年度财政拨款结转资金解决。其中： </w:t>
      </w:r>
    </w:p>
    <w:p>
      <w:pPr>
        <w:autoSpaceDE w:val="0"/>
        <w:autoSpaceDN w:val="0"/>
        <w:adjustRightInd w:val="0"/>
        <w:spacing w:line="560" w:lineRule="exact"/>
        <w:ind w:firstLine="640" w:firstLineChars="200"/>
        <w:rPr>
          <w:rFonts w:ascii="仿宋_GB2312" w:eastAsia="仿宋_GB2312" w:cs="仿宋_GB2312"/>
          <w:bCs/>
          <w:color w:val="000000" w:themeColor="text1"/>
          <w:kern w:val="0"/>
          <w:sz w:val="32"/>
          <w:szCs w:val="32"/>
        </w:rPr>
      </w:pPr>
      <w:r>
        <w:rPr>
          <w:rFonts w:hint="eastAsia" w:ascii="仿宋_GB2312" w:eastAsia="仿宋_GB2312" w:cs="仿宋_GB2312"/>
          <w:bCs/>
          <w:kern w:val="0"/>
          <w:sz w:val="32"/>
          <w:szCs w:val="32"/>
        </w:rPr>
        <w:t>1.一般公共服务（类）财政事务（款）行政运行（项）。 年初预算为82.38万元，支出决算为102.82万元，完成年初预算的124.81%。决算数大于预算数的主要原因是</w:t>
      </w:r>
      <w:r>
        <w:rPr>
          <w:rFonts w:hint="eastAsia" w:ascii="仿宋_GB2312" w:hAnsi="Tahoma" w:eastAsia="仿宋_GB2312" w:cs="仿宋_GB2312"/>
          <w:bCs/>
          <w:color w:val="000000" w:themeColor="text1"/>
          <w:sz w:val="32"/>
          <w:szCs w:val="32"/>
        </w:rPr>
        <w:t>年中追加安排财政拨款支出预算，涉及项目有补发2018年度绩效考评奖励、2018年度考核优秀奖励、预发2019年度绩效考评奖励、增人增资等。</w:t>
      </w:r>
    </w:p>
    <w:p>
      <w:pPr>
        <w:widowControl/>
        <w:shd w:val="clear" w:color="auto" w:fill="FFFFFF"/>
        <w:adjustRightInd w:val="0"/>
        <w:spacing w:line="560" w:lineRule="exact"/>
        <w:ind w:firstLine="640" w:firstLineChars="200"/>
        <w:rPr>
          <w:rFonts w:ascii="仿宋_GB2312" w:hAnsi="Tahoma" w:eastAsia="仿宋_GB2312" w:cs="仿宋_GB2312"/>
          <w:bCs/>
          <w:color w:val="FF0000"/>
          <w:kern w:val="0"/>
          <w:sz w:val="32"/>
          <w:szCs w:val="32"/>
        </w:rPr>
      </w:pPr>
      <w:r>
        <w:rPr>
          <w:rFonts w:hint="eastAsia" w:ascii="仿宋_GB2312" w:hAnsi="Tahoma" w:eastAsia="仿宋_GB2312" w:cs="仿宋_GB2312"/>
          <w:bCs/>
          <w:color w:val="000000" w:themeColor="text1"/>
          <w:kern w:val="0"/>
          <w:sz w:val="32"/>
          <w:szCs w:val="32"/>
        </w:rPr>
        <w:t>2.一般公共服务（类）民主党派及工商联事务（款）参政议政（项）。年初预算为31.20万元，支出决算为31.56万元，完成年初预算的101.15%。决算数大于预算数的主要原因是部分支出按规定，通过使用以前年度财政拨款结转资金解决。</w:t>
      </w:r>
    </w:p>
    <w:p>
      <w:pPr>
        <w:widowControl/>
        <w:shd w:val="clear" w:color="auto" w:fill="FFFFFF"/>
        <w:adjustRightInd w:val="0"/>
        <w:spacing w:line="560" w:lineRule="exact"/>
        <w:ind w:firstLine="640" w:firstLineChars="200"/>
        <w:rPr>
          <w:rFonts w:ascii="Tahoma" w:hAnsi="Tahoma" w:cs="Tahoma"/>
          <w:color w:val="FF0000"/>
          <w:kern w:val="0"/>
          <w:sz w:val="24"/>
        </w:rPr>
      </w:pPr>
      <w:r>
        <w:rPr>
          <w:rFonts w:hint="eastAsia" w:ascii="仿宋_GB2312" w:hAnsi="Tahoma" w:eastAsia="仿宋_GB2312" w:cs="仿宋_GB2312"/>
          <w:bCs/>
          <w:color w:val="000000" w:themeColor="text1"/>
          <w:kern w:val="0"/>
          <w:sz w:val="32"/>
          <w:szCs w:val="32"/>
        </w:rPr>
        <w:t>3. 一般公共服务（类）民主党派及工商联事务（款）其他民主党派及工商联事务（项）。年初预算为0万元，支出决算为5万元，完成年初预算的100%。决算数大于预算数的主要原因是年中追加安排财政拨款支出预算，涉及项目有下达柳州市中山中学开办资金。</w:t>
      </w:r>
    </w:p>
    <w:p>
      <w:pPr>
        <w:widowControl/>
        <w:shd w:val="clear" w:color="auto" w:fill="FFFFFF"/>
        <w:adjustRightInd w:val="0"/>
        <w:spacing w:line="560" w:lineRule="exact"/>
        <w:ind w:firstLine="640" w:firstLineChars="200"/>
        <w:rPr>
          <w:rFonts w:ascii="Tahoma" w:hAnsi="Tahoma" w:cs="Tahoma"/>
          <w:color w:val="000000" w:themeColor="text1"/>
          <w:kern w:val="0"/>
          <w:sz w:val="24"/>
        </w:rPr>
      </w:pPr>
      <w:r>
        <w:rPr>
          <w:rFonts w:hint="eastAsia" w:ascii="仿宋_GB2312" w:hAnsi="Tahoma" w:eastAsia="仿宋_GB2312" w:cs="仿宋_GB2312"/>
          <w:bCs/>
          <w:color w:val="000000" w:themeColor="text1"/>
          <w:kern w:val="0"/>
          <w:sz w:val="32"/>
          <w:szCs w:val="32"/>
        </w:rPr>
        <w:t>4.社会保障和就业（类）行政事业单位离退休（款）归口管理的行政单位离退休（项）。年初预算为5.8万元，支出决算为5.8万元，完成年初预算的100%。决算数与预算数持平。</w:t>
      </w:r>
    </w:p>
    <w:p>
      <w:pPr>
        <w:widowControl/>
        <w:shd w:val="clear" w:color="auto" w:fill="FFFFFF"/>
        <w:adjustRightInd w:val="0"/>
        <w:spacing w:line="560" w:lineRule="exact"/>
        <w:ind w:firstLine="640" w:firstLineChars="200"/>
        <w:rPr>
          <w:rFonts w:ascii="Tahoma" w:hAnsi="Tahoma" w:cs="Tahoma"/>
          <w:color w:val="FF0000"/>
          <w:kern w:val="0"/>
          <w:sz w:val="24"/>
        </w:rPr>
      </w:pPr>
      <w:r>
        <w:rPr>
          <w:rFonts w:hint="eastAsia" w:ascii="仿宋_GB2312" w:hAnsi="Tahoma" w:eastAsia="仿宋_GB2312" w:cs="仿宋_GB2312"/>
          <w:bCs/>
          <w:color w:val="000000" w:themeColor="text1"/>
          <w:kern w:val="0"/>
          <w:sz w:val="32"/>
          <w:szCs w:val="32"/>
        </w:rPr>
        <w:t>5.社会保障和就业（类）行政事业单位离退休（款）机关事业单位基本养老保险缴费支出（项）。年初预算为15.04万元，支出决算为14.41万元，完成年初预算的95.81%。决算数小于预算数的主要原因是年中核减财政拨款支出预算，涉及项目有核减2019年机关事业单位养老保险经费。</w:t>
      </w:r>
    </w:p>
    <w:p>
      <w:pPr>
        <w:widowControl/>
        <w:shd w:val="clear" w:color="auto" w:fill="FFFFFF"/>
        <w:adjustRightInd w:val="0"/>
        <w:spacing w:line="560" w:lineRule="exact"/>
        <w:ind w:firstLine="640" w:firstLineChars="200"/>
        <w:rPr>
          <w:rFonts w:ascii="Tahoma" w:hAnsi="Tahoma" w:cs="Tahoma"/>
          <w:color w:val="FF0000"/>
          <w:kern w:val="0"/>
          <w:sz w:val="24"/>
        </w:rPr>
      </w:pPr>
      <w:r>
        <w:rPr>
          <w:rFonts w:hint="eastAsia" w:ascii="仿宋_GB2312" w:hAnsi="Tahoma" w:eastAsia="仿宋_GB2312" w:cs="仿宋_GB2312"/>
          <w:bCs/>
          <w:color w:val="000000" w:themeColor="text1"/>
          <w:kern w:val="0"/>
          <w:sz w:val="32"/>
          <w:szCs w:val="32"/>
        </w:rPr>
        <w:t>6.医疗卫生与计划生育（类）行政事业单位医疗（款）行政单位医疗（项）。年初预算为5.64万元，支出决算为6.16万元，完成年初预算的109.22%。</w:t>
      </w:r>
      <w:r>
        <w:rPr>
          <w:rFonts w:hint="eastAsia" w:ascii="仿宋_GB2312" w:hAnsi="Tahoma" w:eastAsia="仿宋_GB2312" w:cs="仿宋_GB2312"/>
          <w:bCs/>
          <w:kern w:val="0"/>
          <w:sz w:val="32"/>
          <w:szCs w:val="32"/>
        </w:rPr>
        <w:t>决算数大于预算数的主要原因是年中追加安排财政拨款支出预算，涉及项目有补2018年度增人增资。</w:t>
      </w:r>
    </w:p>
    <w:p>
      <w:pPr>
        <w:widowControl/>
        <w:shd w:val="clear" w:color="auto" w:fill="FFFFFF"/>
        <w:adjustRightInd w:val="0"/>
        <w:spacing w:line="560" w:lineRule="exact"/>
        <w:ind w:firstLine="640" w:firstLineChars="200"/>
        <w:rPr>
          <w:rFonts w:ascii="Tahoma" w:hAnsi="Tahoma" w:cs="Tahoma"/>
          <w:kern w:val="0"/>
          <w:sz w:val="24"/>
        </w:rPr>
      </w:pPr>
      <w:r>
        <w:rPr>
          <w:rFonts w:hint="eastAsia" w:ascii="仿宋_GB2312" w:hAnsi="Tahoma" w:eastAsia="仿宋_GB2312" w:cs="仿宋_GB2312"/>
          <w:bCs/>
          <w:color w:val="000000" w:themeColor="text1"/>
          <w:kern w:val="0"/>
          <w:sz w:val="32"/>
          <w:szCs w:val="32"/>
        </w:rPr>
        <w:t>7.医疗卫生与计划生育（类）行政事业单位医疗（款）公务员医疗补助（项）。年初预算为6.39万元，支出决算为11.36万元，完成年初预算的177.78%。决算数大于预算数的主要原因</w:t>
      </w:r>
      <w:r>
        <w:rPr>
          <w:rFonts w:hint="eastAsia" w:ascii="仿宋_GB2312" w:hAnsi="Tahoma" w:eastAsia="仿宋_GB2312" w:cs="仿宋_GB2312"/>
          <w:bCs/>
          <w:kern w:val="0"/>
          <w:sz w:val="32"/>
          <w:szCs w:val="32"/>
        </w:rPr>
        <w:t>是年中追加安排财政拨款支出预算，涉及项目有补机关单位2018年7月-2020年6月公务员医疗补助差额。</w:t>
      </w:r>
    </w:p>
    <w:p>
      <w:pPr>
        <w:widowControl/>
        <w:shd w:val="clear" w:color="auto" w:fill="FFFFFF"/>
        <w:adjustRightInd w:val="0"/>
        <w:spacing w:line="560" w:lineRule="exact"/>
        <w:ind w:firstLine="640" w:firstLineChars="200"/>
        <w:rPr>
          <w:rFonts w:ascii="Tahoma" w:hAnsi="Tahoma" w:cs="Tahoma"/>
          <w:kern w:val="0"/>
          <w:sz w:val="24"/>
        </w:rPr>
      </w:pPr>
      <w:r>
        <w:rPr>
          <w:rFonts w:hint="eastAsia" w:ascii="仿宋_GB2312" w:hAnsi="Tahoma" w:eastAsia="仿宋_GB2312" w:cs="仿宋_GB2312"/>
          <w:bCs/>
          <w:kern w:val="0"/>
          <w:sz w:val="32"/>
          <w:szCs w:val="32"/>
        </w:rPr>
        <w:t>8.住房保障（类）住房改革支出（款）住房公积金（项）。年初预算为9.02万元，支出决算为9.85万元，完成年初预算的109.2%。决算数大于预算数的主要原因是年中追加安排财政拨款支出预算，涉及项目有补2018年度增人增资。</w:t>
      </w:r>
    </w:p>
    <w:p>
      <w:pPr>
        <w:widowControl/>
        <w:shd w:val="clear" w:color="auto" w:fill="FFFFFF"/>
        <w:adjustRightInd w:val="0"/>
        <w:spacing w:line="560" w:lineRule="exact"/>
        <w:ind w:firstLine="640" w:firstLineChars="200"/>
        <w:rPr>
          <w:rFonts w:ascii="Tahoma" w:hAnsi="Tahoma" w:cs="Tahoma"/>
          <w:kern w:val="0"/>
          <w:sz w:val="24"/>
        </w:rPr>
      </w:pPr>
      <w:r>
        <w:rPr>
          <w:rFonts w:hint="eastAsia" w:ascii="仿宋_GB2312" w:hAnsi="Tahoma" w:eastAsia="仿宋_GB2312" w:cs="仿宋_GB2312"/>
          <w:bCs/>
          <w:kern w:val="0"/>
          <w:sz w:val="32"/>
          <w:szCs w:val="32"/>
        </w:rPr>
        <w:t>9.住房保障（类）住房改革支出（款）购房补贴（项）。年初预算为0万元，支出决算为0.46万元，完成年初预算的100%。决算数大于预算数的主要原因是年中追加安排财政拨款支出预算，涉及项目有2019年购房补贴。</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2019年度财政拨款基本支出150.86万元，其中：</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人员经费129.47万元，主要包括：基本工资、津贴补贴、 奖金、机关事业单位基本养老保险缴费、职业年金缴费、职工基本医疗保险缴费、公务员医疗补助缴费、其他社会保障缴费、退休费、住房公积金；</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公用经费21.39万元，主要包括：办公费、印刷费、水费、电费、邮电费、物业管理费、差旅费、维 修（护）费、会议费、培训费、公务接待费、工会经费、福利费、其他交通费用、税金及附加费用、其他商品和服务支出。</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kern w:val="0"/>
          <w:sz w:val="32"/>
          <w:szCs w:val="32"/>
        </w:rPr>
        <w:t>七</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2019 年度一般公共预算财政拨款“三公” 经费支出决算情况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2.13万元，支出决算为2.13万元，完成预算的100%，其中：因公出国（境）费支出决算为1.7万元，完成预算的79.81%；公务用车购置及运行费支出决算为0万元，完成预算的0%；公务接待费支出决算为0.43万元，完成预算的20.19%。2019年度“三公”经费支出决算数与预算数持平，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2019年度“三公”经费财政拨款支出决算数比2018年减少0.08万元，下降3.62%，其中：因公出国（境）费支出决算增加0.01万元，增长0.59%；公务用车购置及运行费支出 决算持平；公务接待费支出决算减少0.09万元，下降17.31%。</w:t>
      </w:r>
    </w:p>
    <w:p>
      <w:pPr>
        <w:autoSpaceDE w:val="0"/>
        <w:autoSpaceDN w:val="0"/>
        <w:adjustRightInd w:val="0"/>
        <w:spacing w:line="560" w:lineRule="exac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因公出国（境）费支出增加的主要原因</w:t>
      </w:r>
      <w:r>
        <w:rPr>
          <w:rFonts w:hint="eastAsia" w:ascii="仿宋_GB2312" w:eastAsia="仿宋_GB2312" w:cs="仿宋_GB2312"/>
          <w:bCs/>
          <w:kern w:val="0"/>
          <w:sz w:val="32"/>
          <w:szCs w:val="32"/>
          <w:lang w:eastAsia="zh-CN"/>
        </w:rPr>
        <w:t>是</w:t>
      </w:r>
      <w:r>
        <w:rPr>
          <w:rFonts w:hint="eastAsia" w:ascii="仿宋_GB2312" w:hAnsi="Tahoma" w:eastAsia="仿宋_GB2312" w:cs="仿宋_GB2312"/>
          <w:bCs/>
          <w:sz w:val="32"/>
          <w:szCs w:val="32"/>
        </w:rPr>
        <w:t>应台湾中华工商业联合会邀请，我单位一名机关干部随民革广西区委会组织的参访交流团赴台进行台湾当前文化产业发展现状及推动两岸文化组织交往活动。赴台湾的国际旅费、国外城市间交通费、伙食费、住宿费、公杂费等支出比2018年因公赴台湾的支出费用有所增加</w:t>
      </w:r>
      <w:r>
        <w:rPr>
          <w:rFonts w:hint="eastAsia" w:ascii="仿宋_GB2312" w:eastAsia="仿宋_GB2312" w:cs="仿宋_GB2312"/>
          <w:bCs/>
          <w:kern w:val="0"/>
          <w:sz w:val="32"/>
          <w:szCs w:val="32"/>
        </w:rPr>
        <w:t>；公务用车购置及运行费支出持平；公务接待费支出减少的主要原因是认真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2019年度“三公”经费财政拨款支出决算中，因公出国（境）费支出决算1.7万元，占79.81%；公务用车购置及运行费支出决算0万元，占0 %；公务接待费支出决算0.43万元，占20.19 %。具体情况如下：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1.因公出国（境）费支出1.7万元。全年安排机关和所属单位因公出国 （境）团组1个，累计1人次。开支内容包括：</w:t>
      </w:r>
      <w:r>
        <w:rPr>
          <w:rFonts w:hint="eastAsia" w:ascii="仿宋_GB2312" w:hAnsi="Tahoma" w:eastAsia="仿宋_GB2312" w:cs="仿宋_GB2312"/>
          <w:bCs/>
          <w:sz w:val="32"/>
          <w:szCs w:val="32"/>
        </w:rPr>
        <w:t>国际旅费、食宿费、城市间交通费及其他费用。</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2.公务用车购置及运行费支出0万元。其中：公务用车购置支出为0万元。公务用车运行支出0万元。2019年，机关所属单位开支财政拨款的公务用车保有量为0辆。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3.公务接待费支出0.43万元。其中：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国内公务接待支出0.43万元。主要用于接待</w:t>
      </w:r>
      <w:r>
        <w:rPr>
          <w:rFonts w:hint="eastAsia" w:ascii="仿宋_GB2312" w:hAnsi="仿宋" w:eastAsia="仿宋_GB2312" w:cs="Tahoma"/>
          <w:sz w:val="32"/>
          <w:szCs w:val="32"/>
        </w:rPr>
        <w:t>上级有关部门的考察调研、各地民革兄弟单位学习交流等公务</w:t>
      </w:r>
      <w:r>
        <w:rPr>
          <w:rFonts w:hint="eastAsia" w:ascii="仿宋_GB2312" w:hAnsi="Tahoma" w:eastAsia="仿宋_GB2312" w:cs="仿宋_GB2312"/>
          <w:bCs/>
          <w:sz w:val="32"/>
          <w:szCs w:val="32"/>
        </w:rPr>
        <w:t>接待支出</w:t>
      </w:r>
      <w:r>
        <w:rPr>
          <w:rFonts w:hint="eastAsia" w:ascii="仿宋_GB2312" w:eastAsia="仿宋_GB2312" w:cs="仿宋_GB2312"/>
          <w:bCs/>
          <w:kern w:val="0"/>
          <w:sz w:val="32"/>
          <w:szCs w:val="32"/>
        </w:rPr>
        <w:t>。2019 年共接待国内来访团组6个、来宾39人次。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ind w:firstLine="645"/>
        <w:jc w:val="left"/>
        <w:rPr>
          <w:rFonts w:ascii="仿宋_GB2312" w:hAnsi="Tahoma" w:eastAsia="仿宋_GB2312" w:cs="仿宋_GB2312"/>
          <w:bCs/>
          <w:sz w:val="32"/>
          <w:szCs w:val="32"/>
        </w:rPr>
      </w:pPr>
      <w:r>
        <w:rPr>
          <w:rFonts w:hint="eastAsia" w:ascii="仿宋_GB2312" w:hAnsi="Tahoma" w:eastAsia="仿宋_GB2312" w:cs="仿宋_GB2312"/>
          <w:bCs/>
          <w:sz w:val="32"/>
          <w:szCs w:val="32"/>
        </w:rPr>
        <w:t>本部门2019年度没有政府性基金预算财政拨款收入，也没有政府性基金预算财政拨款支出。</w:t>
      </w:r>
    </w:p>
    <w:p>
      <w:pPr>
        <w:autoSpaceDE w:val="0"/>
        <w:autoSpaceDN w:val="0"/>
        <w:adjustRightInd w:val="0"/>
        <w:spacing w:line="560" w:lineRule="exact"/>
        <w:ind w:firstLine="645"/>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hAnsi="Tahoma" w:eastAsia="仿宋_GB2312" w:cs="仿宋_GB2312"/>
          <w:bCs/>
          <w:sz w:val="32"/>
          <w:szCs w:val="32"/>
        </w:rPr>
        <w:t>根据财政预算管理要求，我部门组织对2019年度一般公共预算部门整体支出全面开展绩效自评。共涉及预算资金187.42万元，自评覆盖率达到100%。</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firstLineChars="200"/>
        <w:rPr>
          <w:rFonts w:ascii="仿宋_GB2312" w:eastAsia="仿宋_GB2312" w:cs="仿宋_GB2312"/>
          <w:bCs/>
          <w:kern w:val="0"/>
          <w:sz w:val="32"/>
          <w:szCs w:val="32"/>
        </w:rPr>
      </w:pPr>
      <w:r>
        <w:rPr>
          <w:rFonts w:hint="eastAsia" w:ascii="仿宋_GB2312" w:hAnsi="Tahoma" w:eastAsia="仿宋_GB2312" w:cs="仿宋_GB2312"/>
          <w:sz w:val="32"/>
          <w:szCs w:val="32"/>
        </w:rPr>
        <w:t>绩效评价结果显示，我单位部门整体支出绩效情况理想，达到部门整体支出申请时设定的各项绩效目标。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rPr>
          <w:rFonts w:ascii="仿宋_GB2312" w:hAnsi="Tahoma" w:eastAsia="仿宋_GB2312" w:cs="仿宋_GB2312"/>
          <w:sz w:val="32"/>
          <w:szCs w:val="32"/>
        </w:rPr>
      </w:pPr>
      <w:r>
        <w:rPr>
          <w:rFonts w:hint="eastAsia" w:ascii="仿宋_GB2312" w:eastAsia="仿宋_GB2312" w:cs="仿宋_GB2312"/>
          <w:kern w:val="0"/>
          <w:sz w:val="32"/>
          <w:szCs w:val="32"/>
        </w:rPr>
        <w:t>（一）机关运行经费支出情况。2019年度部门机关运行经费支出21.39万元，比 2018年增加1.87万元，增长9.58 %，增（减）原因是：预发</w:t>
      </w:r>
      <w:r>
        <w:rPr>
          <w:rFonts w:hint="eastAsia" w:ascii="仿宋_GB2312" w:hAnsi="Tahoma" w:eastAsia="仿宋_GB2312" w:cs="仿宋_GB2312"/>
          <w:sz w:val="32"/>
          <w:szCs w:val="32"/>
        </w:rPr>
        <w:t>2019年度绩效考评奖励标准增加。</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（二）政府采购支出情况。2019年度部门政府采购支出总额0.94万元，其中：货物支出0.94万元。</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91F970-FB76-45F1-A3B3-BB25229356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5CDEEBF1-0CC3-4AE1-9901-B26EB8D4BD51}"/>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EF252F92-85BF-4409-BD23-41CA501958E2}"/>
  </w:font>
  <w:font w:name="Tahoma">
    <w:panose1 w:val="020B0604030504040204"/>
    <w:charset w:val="00"/>
    <w:family w:val="swiss"/>
    <w:pitch w:val="default"/>
    <w:sig w:usb0="E1002EFF" w:usb1="C000605B" w:usb2="00000029" w:usb3="00000000" w:csb0="200101FF" w:csb1="20280000"/>
    <w:embedRegular r:id="rId4" w:fontKey="{937584EB-C115-4914-81B4-7FC38DE31734}"/>
  </w:font>
  <w:font w:name="仿宋">
    <w:panose1 w:val="02010609060101010101"/>
    <w:charset w:val="86"/>
    <w:family w:val="modern"/>
    <w:pitch w:val="default"/>
    <w:sig w:usb0="800002BF" w:usb1="38CF7CFA" w:usb2="00000016" w:usb3="00000000" w:csb0="00040001" w:csb1="00000000"/>
    <w:embedRegular r:id="rId5" w:fontKey="{5336F3A7-21EB-4B47-A555-9BEC9C149B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- 6 -</w:t>
    </w:r>
    <w:r>
      <w:rPr>
        <w:sz w:val="30"/>
        <w:szCs w:val="30"/>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4OGE0YTE5NWJjM2Y5N2I3MDYxMmIwNzljZTk5ZDIifQ=="/>
  </w:docVars>
  <w:rsids>
    <w:rsidRoot w:val="4C256E3D"/>
    <w:rsid w:val="0003175A"/>
    <w:rsid w:val="00085672"/>
    <w:rsid w:val="000A28C3"/>
    <w:rsid w:val="000A6116"/>
    <w:rsid w:val="000F0E6B"/>
    <w:rsid w:val="00112243"/>
    <w:rsid w:val="00123840"/>
    <w:rsid w:val="001256E3"/>
    <w:rsid w:val="00135837"/>
    <w:rsid w:val="00183EB0"/>
    <w:rsid w:val="00185911"/>
    <w:rsid w:val="00193A39"/>
    <w:rsid w:val="001A6FC0"/>
    <w:rsid w:val="001B70CF"/>
    <w:rsid w:val="001B760F"/>
    <w:rsid w:val="00222630"/>
    <w:rsid w:val="002262BB"/>
    <w:rsid w:val="002B5E5C"/>
    <w:rsid w:val="002C0EA0"/>
    <w:rsid w:val="002E5496"/>
    <w:rsid w:val="002F6D87"/>
    <w:rsid w:val="00355395"/>
    <w:rsid w:val="00360B86"/>
    <w:rsid w:val="00387BEA"/>
    <w:rsid w:val="003A75FA"/>
    <w:rsid w:val="003E076F"/>
    <w:rsid w:val="003E120E"/>
    <w:rsid w:val="00490122"/>
    <w:rsid w:val="004A20B3"/>
    <w:rsid w:val="004A3EB3"/>
    <w:rsid w:val="004B15F7"/>
    <w:rsid w:val="004B6653"/>
    <w:rsid w:val="004C2D03"/>
    <w:rsid w:val="004D04F9"/>
    <w:rsid w:val="004F1659"/>
    <w:rsid w:val="004F2073"/>
    <w:rsid w:val="004F39CA"/>
    <w:rsid w:val="00514365"/>
    <w:rsid w:val="0053397F"/>
    <w:rsid w:val="00534D24"/>
    <w:rsid w:val="00535787"/>
    <w:rsid w:val="005511C1"/>
    <w:rsid w:val="0056552F"/>
    <w:rsid w:val="00581FC3"/>
    <w:rsid w:val="00584BDC"/>
    <w:rsid w:val="005A652D"/>
    <w:rsid w:val="005C689F"/>
    <w:rsid w:val="005D1363"/>
    <w:rsid w:val="005D436E"/>
    <w:rsid w:val="006175A7"/>
    <w:rsid w:val="00640E5A"/>
    <w:rsid w:val="00654E08"/>
    <w:rsid w:val="00697C61"/>
    <w:rsid w:val="006C13A8"/>
    <w:rsid w:val="006E62C0"/>
    <w:rsid w:val="00703438"/>
    <w:rsid w:val="007131AE"/>
    <w:rsid w:val="00714A87"/>
    <w:rsid w:val="007208F2"/>
    <w:rsid w:val="00720EC3"/>
    <w:rsid w:val="007235A5"/>
    <w:rsid w:val="00775E5E"/>
    <w:rsid w:val="007F05E2"/>
    <w:rsid w:val="00824E78"/>
    <w:rsid w:val="00830BAE"/>
    <w:rsid w:val="00867312"/>
    <w:rsid w:val="00896EAC"/>
    <w:rsid w:val="008B531F"/>
    <w:rsid w:val="008E3F33"/>
    <w:rsid w:val="00901AA4"/>
    <w:rsid w:val="009174F2"/>
    <w:rsid w:val="009B2057"/>
    <w:rsid w:val="009C5045"/>
    <w:rsid w:val="009E5D0F"/>
    <w:rsid w:val="00A06E07"/>
    <w:rsid w:val="00A15B12"/>
    <w:rsid w:val="00A556B4"/>
    <w:rsid w:val="00A70DFB"/>
    <w:rsid w:val="00A82179"/>
    <w:rsid w:val="00AF1000"/>
    <w:rsid w:val="00B4506F"/>
    <w:rsid w:val="00B55AE7"/>
    <w:rsid w:val="00B81C4F"/>
    <w:rsid w:val="00BA12A1"/>
    <w:rsid w:val="00BD163E"/>
    <w:rsid w:val="00C1262D"/>
    <w:rsid w:val="00C22F8D"/>
    <w:rsid w:val="00C46873"/>
    <w:rsid w:val="00C91093"/>
    <w:rsid w:val="00CA3232"/>
    <w:rsid w:val="00CA5EA9"/>
    <w:rsid w:val="00CA7F31"/>
    <w:rsid w:val="00CE1421"/>
    <w:rsid w:val="00CE3A24"/>
    <w:rsid w:val="00D41AE1"/>
    <w:rsid w:val="00D42249"/>
    <w:rsid w:val="00DC72CB"/>
    <w:rsid w:val="00DC7869"/>
    <w:rsid w:val="00E31DA3"/>
    <w:rsid w:val="00E33D25"/>
    <w:rsid w:val="00E62F1B"/>
    <w:rsid w:val="00E95981"/>
    <w:rsid w:val="00EB2C4A"/>
    <w:rsid w:val="00EE1201"/>
    <w:rsid w:val="00F7177F"/>
    <w:rsid w:val="00F93FD5"/>
    <w:rsid w:val="00FA219C"/>
    <w:rsid w:val="00FF6DD6"/>
    <w:rsid w:val="18212B42"/>
    <w:rsid w:val="1DA12C28"/>
    <w:rsid w:val="26460DBA"/>
    <w:rsid w:val="2C4219FE"/>
    <w:rsid w:val="39A63F06"/>
    <w:rsid w:val="3ED1439F"/>
    <w:rsid w:val="4C256E3D"/>
    <w:rsid w:val="4CB52F0F"/>
    <w:rsid w:val="532F1F9A"/>
    <w:rsid w:val="6216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850</Words>
  <Characters>4851</Characters>
  <Lines>40</Lines>
  <Paragraphs>11</Paragraphs>
  <TotalTime>185</TotalTime>
  <ScaleCrop>false</ScaleCrop>
  <LinksUpToDate>false</LinksUpToDate>
  <CharactersWithSpaces>5690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2020-07-29T03:45:00Z</dcterms:created>
  <dc:creator>陈冬雪</dc:creator>
  <cp:lastModifiedBy>橘生淮南</cp:lastModifiedBy>
  <dcterms:modified xsi:type="dcterms:W3CDTF">2023-11-22T09:06:24Z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3096B1419B3E4D6291B53277E5F7CB94_12</vt:lpwstr>
  </property>
</Properties>
</file>