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r>
        <w:rPr>
          <w:rFonts w:hint="eastAsia" w:ascii="黑体" w:eastAsia="黑体" w:cs="ArialUnicodeMS"/>
          <w:kern w:val="0"/>
          <w:sz w:val="52"/>
          <w:szCs w:val="52"/>
        </w:rPr>
        <w:t>中国民主建国会柳州市委员会</w:t>
      </w:r>
    </w:p>
    <w:p>
      <w:pPr>
        <w:jc w:val="center"/>
        <w:rPr>
          <w:rFonts w:hint="eastAsia" w:ascii="黑体" w:eastAsia="黑体" w:cs="ArialUnicodeMS"/>
          <w:kern w:val="0"/>
          <w:sz w:val="52"/>
          <w:szCs w:val="52"/>
        </w:rPr>
      </w:pPr>
    </w:p>
    <w:p>
      <w:pPr>
        <w:jc w:val="center"/>
        <w:rPr>
          <w:rFonts w:ascii="黑体" w:eastAsia="黑体" w:cs="ArialUnicodeMS"/>
          <w:kern w:val="0"/>
          <w:sz w:val="52"/>
          <w:szCs w:val="52"/>
        </w:rPr>
      </w:pPr>
      <w:r>
        <w:rPr>
          <w:rFonts w:hint="eastAsia" w:ascii="黑体" w:eastAsia="黑体"/>
          <w:kern w:val="0"/>
          <w:sz w:val="52"/>
          <w:szCs w:val="52"/>
        </w:rPr>
        <w:t>201</w:t>
      </w:r>
      <w:r>
        <w:rPr>
          <w:rFonts w:hint="eastAsia" w:ascii="黑体" w:eastAsia="黑体"/>
          <w:kern w:val="0"/>
          <w:sz w:val="52"/>
          <w:szCs w:val="52"/>
          <w:lang w:val="en-US" w:eastAsia="zh-CN"/>
        </w:rPr>
        <w:t>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both"/>
        <w:rPr>
          <w:rFonts w:ascii="黑体" w:eastAsia="黑体" w:cs="黑体"/>
          <w:kern w:val="0"/>
          <w:sz w:val="44"/>
          <w:szCs w:val="44"/>
        </w:rPr>
      </w:pPr>
    </w:p>
    <w:p>
      <w:pPr>
        <w:jc w:val="both"/>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第一部分：中国民主建国会柳州市委员会概况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第二部分：中国民主建国会柳州市委员会201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第三部分：中国民主建国会柳州市委员会201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w:t>
      </w:r>
      <w:r>
        <w:rPr>
          <w:rFonts w:hint="eastAsia" w:eastAsia="仿宋_GB2312"/>
          <w:kern w:val="0"/>
          <w:sz w:val="32"/>
          <w:szCs w:val="32"/>
          <w:lang w:val="en-US" w:eastAsia="zh-CN"/>
        </w:rPr>
        <w:t xml:space="preserve">9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w:t>
      </w:r>
      <w:r>
        <w:rPr>
          <w:rFonts w:hint="eastAsia" w:eastAsia="仿宋_GB2312"/>
          <w:kern w:val="0"/>
          <w:sz w:val="32"/>
          <w:szCs w:val="32"/>
          <w:lang w:val="en-US" w:eastAsia="zh-CN"/>
        </w:rPr>
        <w:t xml:space="preserve">9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w:t>
      </w:r>
      <w:r>
        <w:rPr>
          <w:rFonts w:hint="eastAsia" w:eastAsia="仿宋_GB2312"/>
          <w:kern w:val="0"/>
          <w:sz w:val="32"/>
          <w:szCs w:val="32"/>
          <w:lang w:val="en-US" w:eastAsia="zh-CN"/>
        </w:rPr>
        <w:t xml:space="preserve">9 </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hint="eastAsia" w:eastAsia="仿宋_GB2312"/>
          <w:kern w:val="0"/>
          <w:sz w:val="32"/>
          <w:szCs w:val="32"/>
        </w:rPr>
        <w:t>201</w:t>
      </w:r>
      <w:r>
        <w:rPr>
          <w:rFonts w:hint="eastAsia" w:eastAsia="仿宋_GB2312"/>
          <w:kern w:val="0"/>
          <w:sz w:val="32"/>
          <w:szCs w:val="32"/>
          <w:lang w:val="en-US" w:eastAsia="zh-CN"/>
        </w:rPr>
        <w:t xml:space="preserve">9 </w:t>
      </w:r>
      <w:r>
        <w:rPr>
          <w:rFonts w:hint="eastAsia" w:ascii="仿宋_GB2312" w:eastAsia="仿宋_GB2312" w:cs="仿宋_GB2312"/>
          <w:bCs/>
          <w:kern w:val="0"/>
          <w:sz w:val="32"/>
          <w:szCs w:val="32"/>
        </w:rPr>
        <w:t>年度</w:t>
      </w:r>
      <w:r>
        <w:rPr>
          <w:rFonts w:hint="eastAsia" w:ascii="仿宋_GB2312" w:eastAsia="仿宋_GB2312" w:cs="仿宋_GB2312"/>
          <w:bCs/>
          <w:kern w:val="0"/>
          <w:sz w:val="32"/>
          <w:szCs w:val="32"/>
          <w:lang w:eastAsia="zh-CN"/>
        </w:rPr>
        <w:t>政府性基金预算财政拨款收入支出决算</w:t>
      </w:r>
      <w:r>
        <w:rPr>
          <w:rFonts w:hint="eastAsia" w:ascii="仿宋_GB2312" w:eastAsia="仿宋_GB2312" w:cs="仿宋_GB2312"/>
          <w:bCs/>
          <w:kern w:val="0"/>
          <w:sz w:val="32"/>
          <w:szCs w:val="32"/>
        </w:rPr>
        <w:t>情况</w:t>
      </w:r>
    </w:p>
    <w:p>
      <w:pPr>
        <w:numPr>
          <w:ilvl w:val="0"/>
          <w:numId w:val="1"/>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eastAsia="仿宋_GB2312"/>
          <w:kern w:val="0"/>
          <w:sz w:val="32"/>
          <w:szCs w:val="32"/>
        </w:rPr>
        <w:t>201</w:t>
      </w:r>
      <w:r>
        <w:rPr>
          <w:rFonts w:hint="eastAsia" w:eastAsia="仿宋_GB2312"/>
          <w:kern w:val="0"/>
          <w:sz w:val="32"/>
          <w:szCs w:val="32"/>
          <w:lang w:val="en-US" w:eastAsia="zh-CN"/>
        </w:rPr>
        <w:t xml:space="preserve">9 </w:t>
      </w:r>
      <w:r>
        <w:rPr>
          <w:rFonts w:hint="eastAsia" w:ascii="仿宋_GB2312" w:eastAsia="仿宋_GB2312" w:cs="仿宋_GB2312"/>
          <w:bCs/>
          <w:kern w:val="0"/>
          <w:sz w:val="32"/>
          <w:szCs w:val="32"/>
        </w:rPr>
        <w:t>年度预算绩效情况说明</w:t>
      </w:r>
    </w:p>
    <w:p>
      <w:pPr>
        <w:numPr>
          <w:ilvl w:val="0"/>
          <w:numId w:val="1"/>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hint="eastAsia" w:ascii="仿宋_GB2312" w:eastAsia="仿宋_GB2312" w:cs="仿宋_GB2312"/>
          <w:bCs/>
          <w:kern w:val="0"/>
          <w:sz w:val="32"/>
          <w:szCs w:val="32"/>
        </w:rPr>
      </w:pPr>
      <w:r>
        <w:rPr>
          <w:rFonts w:hint="eastAsia" w:ascii="仿宋_GB2312" w:eastAsia="仿宋_GB2312" w:cs="仿宋_GB2312"/>
          <w:bCs/>
          <w:kern w:val="0"/>
          <w:sz w:val="32"/>
          <w:szCs w:val="32"/>
        </w:rPr>
        <w:br w:type="page"/>
      </w:r>
    </w:p>
    <w:p>
      <w:pPr>
        <w:ind w:firstLine="646"/>
        <w:jc w:val="center"/>
        <w:rPr>
          <w:rFonts w:hint="eastAsia" w:ascii="仿宋_GB2312" w:eastAsia="仿宋_GB2312"/>
          <w:b/>
          <w:sz w:val="32"/>
          <w:szCs w:val="32"/>
        </w:rPr>
      </w:pPr>
      <w:r>
        <w:rPr>
          <w:rFonts w:hint="eastAsia" w:ascii="仿宋_GB2312" w:eastAsia="仿宋_GB2312"/>
          <w:b/>
          <w:sz w:val="32"/>
          <w:szCs w:val="32"/>
        </w:rPr>
        <w:t>第一部分：中国民主建国会柳州市委员会概况</w:t>
      </w:r>
    </w:p>
    <w:p>
      <w:pPr>
        <w:ind w:firstLine="646"/>
        <w:jc w:val="center"/>
        <w:rPr>
          <w:rFonts w:hint="eastAsia" w:ascii="仿宋_GB2312" w:eastAsia="仿宋_GB2312"/>
          <w:b/>
          <w:sz w:val="32"/>
          <w:szCs w:val="32"/>
        </w:rPr>
      </w:pP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hAnsi="仿宋_GB2312" w:eastAsia="仿宋_GB2312"/>
          <w:sz w:val="32"/>
          <w:szCs w:val="32"/>
        </w:rPr>
      </w:pPr>
      <w:r>
        <w:rPr>
          <w:rFonts w:hint="eastAsia" w:ascii="仿宋_GB2312" w:hAnsi="仿宋_GB2312" w:eastAsia="仿宋_GB2312"/>
          <w:sz w:val="32"/>
          <w:szCs w:val="32"/>
        </w:rPr>
        <w:t>民建柳州市委是中国共产党领导的多党合作和政治协商制度的组成部分，主要职能是通过调查研究向党委政府提出意见和建议，加强自身组织建设和思想建设，参政议政，民主监督，开展党务工作。目前，民建柳州市委编制8人，在职实有人数8人，下设办公室、组织科、宣传科。</w:t>
      </w:r>
    </w:p>
    <w:p>
      <w:pPr>
        <w:ind w:firstLine="646"/>
        <w:rPr>
          <w:rFonts w:ascii="仿宋_GB2312" w:eastAsia="仿宋_GB2312"/>
          <w:sz w:val="32"/>
          <w:szCs w:val="32"/>
        </w:rPr>
      </w:pPr>
      <w:r>
        <w:rPr>
          <w:rFonts w:hint="eastAsia" w:ascii="仿宋_GB2312" w:eastAsia="仿宋_GB2312"/>
          <w:sz w:val="32"/>
          <w:szCs w:val="32"/>
        </w:rPr>
        <w:t>二、部门决算单位构成</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本部门机构设置如下表：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单位名称</w:t>
            </w:r>
          </w:p>
        </w:tc>
        <w:tc>
          <w:tcPr>
            <w:tcW w:w="4261"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单位性质（行政、参公、全额拨款事业单位、差额拨款事业单位、自收自支事业单位）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hint="eastAsia" w:ascii="仿宋_GB2312" w:hAnsi="仿宋_GB2312" w:eastAsia="仿宋_GB2312"/>
                <w:sz w:val="28"/>
              </w:rPr>
              <w:t>中国民主建国会柳州市委员会</w:t>
            </w:r>
          </w:p>
        </w:tc>
        <w:tc>
          <w:tcPr>
            <w:tcW w:w="4261"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1400" w:firstLineChars="500"/>
              <w:rPr>
                <w:rFonts w:ascii="仿宋_GB2312" w:hAnsi="仿宋_GB2312" w:eastAsia="仿宋_GB2312"/>
                <w:sz w:val="28"/>
              </w:rPr>
            </w:pPr>
            <w:r>
              <w:rPr>
                <w:rFonts w:hint="eastAsia" w:ascii="仿宋_GB2312" w:hAnsi="仿宋_GB2312" w:eastAsia="仿宋_GB2312"/>
                <w:sz w:val="28"/>
              </w:rPr>
              <w:t>行政</w:t>
            </w: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本年度机构和人员如下表：</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 xml:space="preserve">              </w:t>
      </w:r>
      <w:r>
        <w:rPr>
          <w:rFonts w:hint="eastAsia" w:ascii="仿宋_GB2312" w:hAnsi="仿宋_GB2312" w:eastAsia="仿宋_GB2312"/>
          <w:sz w:val="28"/>
        </w:rPr>
        <w:t xml:space="preserve">                                </w:t>
      </w:r>
      <w:r>
        <w:rPr>
          <w:rFonts w:ascii="仿宋_GB2312" w:hAnsi="仿宋_GB2312" w:eastAsia="仿宋_GB2312"/>
          <w:sz w:val="28"/>
        </w:rPr>
        <w:t>单位：人</w:t>
      </w:r>
    </w:p>
    <w:tbl>
      <w:tblPr>
        <w:tblStyle w:val="5"/>
        <w:tblW w:w="0" w:type="auto"/>
        <w:tblInd w:w="20" w:type="dxa"/>
        <w:tblBorders>
          <w:top w:val="single" w:color="auto" w:sz="4" w:space="0"/>
          <w:left w:val="single" w:color="auto" w:sz="4" w:space="0"/>
          <w:bottom w:val="none" w:color="auto" w:sz="0" w:space="0"/>
          <w:right w:val="single" w:color="auto" w:sz="4" w:space="0"/>
          <w:insideH w:val="none" w:color="auto" w:sz="0" w:space="0"/>
          <w:insideV w:val="single" w:color="auto" w:sz="4" w:space="0"/>
        </w:tblBorders>
        <w:tblLayout w:type="fixed"/>
        <w:tblCellMar>
          <w:top w:w="20" w:type="dxa"/>
          <w:left w:w="20" w:type="dxa"/>
          <w:bottom w:w="0" w:type="dxa"/>
          <w:right w:w="20" w:type="dxa"/>
        </w:tblCellMar>
      </w:tblPr>
      <w:tblGrid>
        <w:gridCol w:w="2694"/>
        <w:gridCol w:w="747"/>
        <w:gridCol w:w="812"/>
        <w:gridCol w:w="1134"/>
        <w:gridCol w:w="992"/>
        <w:gridCol w:w="1199"/>
        <w:gridCol w:w="1208"/>
      </w:tblGrid>
      <w:tr>
        <w:tblPrEx>
          <w:tblBorders>
            <w:top w:val="single" w:color="auto" w:sz="4" w:space="0"/>
            <w:left w:val="single" w:color="auto" w:sz="4" w:space="0"/>
            <w:bottom w:val="none" w:color="auto" w:sz="0" w:space="0"/>
            <w:right w:val="single" w:color="auto" w:sz="4" w:space="0"/>
            <w:insideH w:val="none" w:color="auto" w:sz="0" w:space="0"/>
            <w:insideV w:val="single" w:color="auto" w:sz="4" w:space="0"/>
          </w:tblBorders>
          <w:tblCellMar>
            <w:top w:w="20" w:type="dxa"/>
            <w:left w:w="20" w:type="dxa"/>
            <w:bottom w:w="0" w:type="dxa"/>
            <w:right w:w="20" w:type="dxa"/>
          </w:tblCellMar>
        </w:tblPrEx>
        <w:trPr>
          <w:cantSplit/>
          <w:trHeight w:val="735" w:hRule="atLeast"/>
        </w:trPr>
        <w:tc>
          <w:tcPr>
            <w:tcW w:w="2694" w:type="dxa"/>
            <w:tcBorders>
              <w:top w:val="single" w:color="auto" w:sz="4" w:space="0"/>
              <w:left w:val="single" w:color="auto" w:sz="4" w:space="0"/>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项    目</w:t>
            </w:r>
          </w:p>
        </w:tc>
        <w:tc>
          <w:tcPr>
            <w:tcW w:w="747" w:type="dxa"/>
            <w:tcBorders>
              <w:top w:val="single" w:color="auto" w:sz="4" w:space="0"/>
              <w:left w:val="single" w:color="auto" w:sz="4" w:space="0"/>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合计</w:t>
            </w:r>
          </w:p>
        </w:tc>
        <w:tc>
          <w:tcPr>
            <w:tcW w:w="812" w:type="dxa"/>
            <w:tcBorders>
              <w:top w:val="single" w:color="auto" w:sz="4" w:space="0"/>
              <w:left w:val="single" w:color="auto" w:sz="4" w:space="0"/>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行政</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单位</w:t>
            </w:r>
          </w:p>
        </w:tc>
        <w:tc>
          <w:tcPr>
            <w:tcW w:w="2126" w:type="dxa"/>
            <w:gridSpan w:val="2"/>
            <w:tcBorders>
              <w:top w:val="nil"/>
              <w:left w:val="nil"/>
              <w:bottom w:val="nil"/>
              <w:right w:val="nil"/>
            </w:tcBorders>
            <w:tcMar>
              <w:top w:w="0" w:type="dxa"/>
              <w:left w:w="0" w:type="dxa"/>
              <w:right w:w="0" w:type="dxa"/>
            </w:tcMar>
          </w:tcPr>
          <w:tbl>
            <w:tblPr>
              <w:tblStyle w:val="5"/>
              <w:tblW w:w="0" w:type="auto"/>
              <w:tblInd w:w="0" w:type="dxa"/>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20" w:type="dxa"/>
                <w:left w:w="20" w:type="dxa"/>
                <w:bottom w:w="0" w:type="dxa"/>
                <w:right w:w="20" w:type="dxa"/>
              </w:tblCellMar>
            </w:tblPr>
            <w:tblGrid>
              <w:gridCol w:w="1134"/>
              <w:gridCol w:w="992"/>
            </w:tblGrid>
            <w:tr>
              <w:tblPrEx>
                <w:tblBorders>
                  <w:top w:val="single" w:color="auto" w:sz="4" w:space="0"/>
                  <w:left w:val="none" w:color="auto" w:sz="0" w:space="0"/>
                  <w:bottom w:val="single" w:color="auto" w:sz="4" w:space="0"/>
                  <w:right w:val="single" w:color="auto" w:sz="4" w:space="0"/>
                  <w:insideH w:val="none" w:color="auto" w:sz="0" w:space="0"/>
                  <w:insideV w:val="none" w:color="auto" w:sz="0" w:space="0"/>
                </w:tblBorders>
                <w:tblCellMar>
                  <w:top w:w="20" w:type="dxa"/>
                  <w:left w:w="20" w:type="dxa"/>
                  <w:bottom w:w="0" w:type="dxa"/>
                  <w:right w:w="20" w:type="dxa"/>
                </w:tblCellMar>
              </w:tblPrEx>
              <w:trPr>
                <w:cantSplit/>
                <w:trHeight w:val="735" w:hRule="atLeast"/>
              </w:trPr>
              <w:tc>
                <w:tcPr>
                  <w:tcW w:w="2126" w:type="dxa"/>
                  <w:gridSpan w:val="2"/>
                  <w:tcBorders>
                    <w:top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财政拨款事业单位</w:t>
                  </w:r>
                </w:p>
              </w:tc>
            </w:tr>
            <w:tr>
              <w:tblPrEx>
                <w:tblBorders>
                  <w:top w:val="single" w:color="auto" w:sz="4" w:space="0"/>
                  <w:left w:val="none" w:color="auto" w:sz="0" w:space="0"/>
                  <w:bottom w:val="none" w:color="auto" w:sz="0" w:space="0"/>
                  <w:right w:val="single" w:color="auto" w:sz="4" w:space="0"/>
                  <w:insideH w:val="none" w:color="auto" w:sz="0" w:space="0"/>
                  <w:insideV w:val="single" w:color="auto" w:sz="4" w:space="0"/>
                </w:tblBorders>
                <w:tblCellMar>
                  <w:top w:w="20" w:type="dxa"/>
                  <w:left w:w="20" w:type="dxa"/>
                  <w:bottom w:w="0" w:type="dxa"/>
                  <w:right w:w="20" w:type="dxa"/>
                </w:tblCellMar>
              </w:tblPrEx>
              <w:trPr>
                <w:cantSplit/>
                <w:trHeight w:val="1111" w:hRule="atLeast"/>
              </w:trPr>
              <w:tc>
                <w:tcPr>
                  <w:tcW w:w="1134" w:type="dxa"/>
                  <w:tcBorders>
                    <w:top w:val="single" w:color="auto" w:sz="4" w:space="0"/>
                    <w:left w:val="nil"/>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参公</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管理</w:t>
                  </w:r>
                </w:p>
              </w:tc>
              <w:tc>
                <w:tcPr>
                  <w:tcW w:w="992" w:type="dxa"/>
                  <w:tcBorders>
                    <w:top w:val="single" w:color="auto" w:sz="4" w:space="0"/>
                    <w:left w:val="nil"/>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其他</w:t>
                  </w: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p>
        </w:tc>
        <w:tc>
          <w:tcPr>
            <w:tcW w:w="1199" w:type="dxa"/>
            <w:tcBorders>
              <w:top w:val="single" w:color="auto" w:sz="4" w:space="0"/>
              <w:left w:val="nil"/>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财政补助事业单位</w:t>
            </w:r>
          </w:p>
        </w:tc>
        <w:tc>
          <w:tcPr>
            <w:tcW w:w="1208" w:type="dxa"/>
            <w:tcBorders>
              <w:top w:val="single" w:color="auto" w:sz="4" w:space="0"/>
              <w:left w:val="single" w:color="auto" w:sz="4" w:space="0"/>
              <w:bottom w:val="nil"/>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自收自支事业单位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编制数</w:t>
            </w:r>
          </w:p>
        </w:tc>
        <w:tc>
          <w:tcPr>
            <w:tcW w:w="747"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812"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1134"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实有人数</w:t>
            </w:r>
          </w:p>
        </w:tc>
        <w:tc>
          <w:tcPr>
            <w:tcW w:w="747"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812"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1134"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在职人数</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其中：在岗在编人数</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8</w:t>
            </w: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 xml:space="preserve">  在岗超编人数</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离退休人数</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5</w:t>
            </w: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5</w:t>
            </w: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其中：离休人数</w:t>
            </w:r>
          </w:p>
        </w:tc>
        <w:tc>
          <w:tcPr>
            <w:tcW w:w="747"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812"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34"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rPr>
                <w:rFonts w:ascii="仿宋_GB2312" w:hAnsi="仿宋_GB2312" w:eastAsia="仿宋_GB2312"/>
                <w:sz w:val="28"/>
              </w:rPr>
            </w:pPr>
            <w:r>
              <w:rPr>
                <w:rFonts w:ascii="仿宋_GB2312" w:hAnsi="仿宋_GB2312" w:eastAsia="仿宋_GB2312"/>
                <w:sz w:val="28"/>
              </w:rPr>
              <w:t xml:space="preserve">    </w:t>
            </w:r>
            <w:r>
              <w:rPr>
                <w:rFonts w:hint="eastAsia" w:ascii="仿宋_GB2312" w:hAnsi="仿宋_GB2312" w:eastAsia="仿宋_GB2312"/>
                <w:sz w:val="28"/>
              </w:rPr>
              <w:t xml:space="preserve">  </w:t>
            </w:r>
            <w:r>
              <w:rPr>
                <w:rFonts w:ascii="仿宋_GB2312" w:hAnsi="仿宋_GB2312" w:eastAsia="仿宋_GB2312"/>
                <w:sz w:val="28"/>
              </w:rPr>
              <w:t>退休人数</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5</w:t>
            </w: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r>
              <w:rPr>
                <w:rFonts w:hint="eastAsia" w:ascii="仿宋_GB2312" w:hAnsi="仿宋_GB2312" w:eastAsia="仿宋_GB2312"/>
                <w:sz w:val="28"/>
              </w:rPr>
              <w:t>5</w:t>
            </w: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1400" w:firstLineChars="500"/>
              <w:rPr>
                <w:rFonts w:ascii="仿宋_GB2312" w:hAnsi="仿宋_GB2312" w:eastAsia="仿宋_GB2312"/>
                <w:sz w:val="28"/>
              </w:rPr>
            </w:pPr>
            <w:r>
              <w:rPr>
                <w:rFonts w:ascii="仿宋_GB2312" w:hAnsi="仿宋_GB2312" w:eastAsia="仿宋_GB2312"/>
                <w:sz w:val="28"/>
              </w:rPr>
              <w:t>遗属</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0" w:type="dxa"/>
            <w:right w:w="20" w:type="dxa"/>
          </w:tblCellMar>
        </w:tblPrEx>
        <w:trPr>
          <w:trHeight w:val="227" w:hRule="atLeast"/>
        </w:trPr>
        <w:tc>
          <w:tcPr>
            <w:tcW w:w="2694" w:type="dxa"/>
            <w:tcBorders>
              <w:top w:val="nil"/>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sz w:val="28"/>
              </w:rPr>
            </w:pPr>
            <w:r>
              <w:rPr>
                <w:rFonts w:ascii="仿宋_GB2312" w:hAnsi="仿宋_GB2312" w:eastAsia="仿宋_GB2312"/>
                <w:sz w:val="28"/>
              </w:rPr>
              <w:t>编外长期聘用人员</w:t>
            </w:r>
          </w:p>
        </w:tc>
        <w:tc>
          <w:tcPr>
            <w:tcW w:w="747"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81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34"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992"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199" w:type="dxa"/>
            <w:tcBorders>
              <w:top w:val="nil"/>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c>
          <w:tcPr>
            <w:tcW w:w="1208" w:type="dxa"/>
            <w:tcBorders>
              <w:top w:val="nil"/>
              <w:left w:val="single" w:color="auto" w:sz="4" w:space="0"/>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560"/>
              <w:jc w:val="center"/>
              <w:rPr>
                <w:rFonts w:ascii="仿宋_GB2312" w:hAnsi="仿宋_GB2312" w:eastAsia="仿宋_GB2312"/>
                <w:sz w:val="28"/>
              </w:rPr>
            </w:pPr>
          </w:p>
        </w:tc>
      </w:tr>
    </w:tbl>
    <w:p>
      <w:pPr>
        <w:ind w:firstLine="645"/>
        <w:rPr>
          <w:rFonts w:ascii="仿宋_GB2312" w:eastAsia="仿宋_GB2312"/>
          <w:sz w:val="32"/>
          <w:szCs w:val="32"/>
        </w:rP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第二部分：中国民主建国会柳州市委员会201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pStyle w:val="12"/>
        <w:keepNext/>
        <w:keepLines/>
        <w:widowControl w:val="0"/>
        <w:shd w:val="clear" w:color="auto" w:fill="auto"/>
        <w:bidi w:val="0"/>
        <w:spacing w:before="0" w:after="140" w:line="240" w:lineRule="auto"/>
        <w:ind w:left="0" w:right="0" w:firstLine="0"/>
        <w:jc w:val="center"/>
        <w:rPr>
          <w:rFonts w:hint="eastAsia" w:ascii="仿宋_GB2312" w:hAnsi="Tahoma" w:eastAsia="仿宋_GB2312" w:cs="Tahoma"/>
          <w:bCs/>
          <w:kern w:val="0"/>
          <w:sz w:val="32"/>
          <w:szCs w:val="32"/>
        </w:rPr>
      </w:pPr>
    </w:p>
    <w:p>
      <w:pPr>
        <w:pStyle w:val="12"/>
        <w:keepNext/>
        <w:keepLines/>
        <w:widowControl w:val="0"/>
        <w:shd w:val="clear" w:color="auto" w:fill="auto"/>
        <w:bidi w:val="0"/>
        <w:spacing w:before="0" w:after="140" w:line="240" w:lineRule="auto"/>
        <w:ind w:left="0" w:right="0" w:firstLine="0"/>
        <w:jc w:val="center"/>
        <w:rPr>
          <w:sz w:val="38"/>
          <w:szCs w:val="38"/>
        </w:rPr>
      </w:pPr>
      <w:r>
        <w:rPr>
          <w:rFonts w:hint="eastAsia" w:ascii="仿宋_GB2312" w:hAnsi="Tahoma" w:eastAsia="仿宋_GB2312" w:cs="Tahoma"/>
          <w:bCs/>
          <w:kern w:val="0"/>
          <w:sz w:val="32"/>
          <w:szCs w:val="32"/>
        </w:rPr>
        <w:t xml:space="preserve"> </w:t>
      </w:r>
      <w:bookmarkStart w:id="0" w:name="bookmark73"/>
      <w:bookmarkStart w:id="1" w:name="bookmark74"/>
      <w:bookmarkStart w:id="2" w:name="bookmark72"/>
      <w:r>
        <w:rPr>
          <w:b w:val="0"/>
          <w:bCs w:val="0"/>
          <w:color w:val="000000"/>
          <w:spacing w:val="0"/>
          <w:w w:val="100"/>
          <w:position w:val="0"/>
          <w:sz w:val="38"/>
          <w:szCs w:val="38"/>
        </w:rPr>
        <w:t>表一：收入支出决算总表</w:t>
      </w:r>
      <w:bookmarkEnd w:id="0"/>
      <w:bookmarkEnd w:id="1"/>
      <w:bookmarkEnd w:id="2"/>
    </w:p>
    <w:p>
      <w:pPr>
        <w:pStyle w:val="13"/>
        <w:keepNext w:val="0"/>
        <w:keepLines w:val="0"/>
        <w:widowControl w:val="0"/>
        <w:shd w:val="clear" w:color="auto" w:fill="auto"/>
        <w:bidi w:val="0"/>
        <w:spacing w:before="0" w:after="0" w:line="240" w:lineRule="auto"/>
        <w:ind w:left="0" w:right="0" w:firstLine="0"/>
        <w:jc w:val="right"/>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单位：万元</w:t>
      </w:r>
    </w:p>
    <w:tbl>
      <w:tblPr>
        <w:tblStyle w:val="5"/>
        <w:tblW w:w="0" w:type="auto"/>
        <w:jc w:val="center"/>
        <w:tblLayout w:type="fixed"/>
        <w:tblCellMar>
          <w:top w:w="0" w:type="dxa"/>
          <w:left w:w="10" w:type="dxa"/>
          <w:bottom w:w="0" w:type="dxa"/>
          <w:right w:w="10" w:type="dxa"/>
        </w:tblCellMar>
      </w:tblPr>
      <w:tblGrid>
        <w:gridCol w:w="2914"/>
        <w:gridCol w:w="1085"/>
        <w:gridCol w:w="3139"/>
        <w:gridCol w:w="1618"/>
      </w:tblGrid>
      <w:tr>
        <w:tblPrEx>
          <w:tblCellMar>
            <w:top w:w="0" w:type="dxa"/>
            <w:left w:w="10" w:type="dxa"/>
            <w:bottom w:w="0" w:type="dxa"/>
            <w:right w:w="10" w:type="dxa"/>
          </w:tblCellMar>
        </w:tblPrEx>
        <w:trPr>
          <w:trHeight w:val="331" w:hRule="exact"/>
          <w:jc w:val="center"/>
        </w:trPr>
        <w:tc>
          <w:tcPr>
            <w:gridSpan w:val="2"/>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收 入</w:t>
            </w:r>
          </w:p>
        </w:tc>
        <w:tc>
          <w:tcPr>
            <w:gridSpan w:val="2"/>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支 出</w:t>
            </w: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1220" w:right="0" w:firstLine="0"/>
              <w:jc w:val="left"/>
              <w:rPr>
                <w:sz w:val="22"/>
                <w:szCs w:val="22"/>
              </w:rPr>
            </w:pPr>
            <w:r>
              <w:rPr>
                <w:color w:val="000000"/>
                <w:spacing w:val="0"/>
                <w:w w:val="100"/>
                <w:position w:val="0"/>
                <w:sz w:val="22"/>
                <w:szCs w:val="22"/>
              </w:rPr>
              <w:t>项目</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决算数</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1320" w:right="0" w:firstLine="0"/>
              <w:jc w:val="left"/>
              <w:rPr>
                <w:sz w:val="22"/>
                <w:szCs w:val="22"/>
              </w:rPr>
            </w:pPr>
            <w:r>
              <w:rPr>
                <w:color w:val="000000"/>
                <w:spacing w:val="0"/>
                <w:w w:val="100"/>
                <w:position w:val="0"/>
                <w:sz w:val="22"/>
                <w:szCs w:val="22"/>
              </w:rPr>
              <w:t>项目</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决算数</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26" w:lineRule="exact"/>
              <w:ind w:left="0" w:right="0" w:firstLine="0"/>
              <w:jc w:val="left"/>
              <w:rPr>
                <w:sz w:val="22"/>
                <w:szCs w:val="22"/>
              </w:rPr>
            </w:pPr>
            <w:r>
              <w:rPr>
                <w:color w:val="000000"/>
                <w:spacing w:val="0"/>
                <w:w w:val="100"/>
                <w:position w:val="0"/>
                <w:sz w:val="22"/>
                <w:szCs w:val="22"/>
              </w:rPr>
              <w:t>一、一般公共预算财政拨款 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199.71</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一、一般公共服务支出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151.19</w:t>
            </w:r>
          </w:p>
        </w:tc>
      </w:tr>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二、政府性基金预算财政拨 款收入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二、外交支出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三、上级补助收入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三、教育支出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四、事业收入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四、科学技术支出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五、经营收入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五、文化旅游体育与传媒支出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六、附属单位上缴收入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八、社会保障和就业支出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20.03</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七、其他收入</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九、卫生健康支出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16.32</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十九、住房保障支出</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12.17</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本年收入合计</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199.71 </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本年支出合计</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199.71</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用事业基金弥补收支差额</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结余分配</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年初结转和结余</w:t>
            </w: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年末结转与结余</w:t>
            </w: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收入总计</w:t>
            </w: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199.71 </w:t>
            </w:r>
          </w:p>
        </w:tc>
        <w:tc>
          <w:tcPr>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支出总计</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199.71</w:t>
            </w:r>
          </w:p>
        </w:tc>
      </w:tr>
    </w:tbl>
    <w:p>
      <w:pPr>
        <w:pStyle w:val="13"/>
        <w:keepNext w:val="0"/>
        <w:keepLines w:val="0"/>
        <w:widowControl w:val="0"/>
        <w:shd w:val="clear" w:color="auto" w:fill="auto"/>
        <w:bidi w:val="0"/>
        <w:spacing w:before="0" w:after="0" w:line="240" w:lineRule="auto"/>
        <w:ind w:left="0" w:right="0" w:firstLine="0"/>
        <w:jc w:val="left"/>
        <w:rPr>
          <w:color w:val="000000"/>
          <w:spacing w:val="0"/>
          <w:w w:val="100"/>
          <w:position w:val="0"/>
          <w:sz w:val="22"/>
          <w:szCs w:val="22"/>
        </w:rPr>
      </w:pPr>
    </w:p>
    <w:p>
      <w:pPr>
        <w:pStyle w:val="13"/>
        <w:keepNext w:val="0"/>
        <w:keepLines w:val="0"/>
        <w:widowControl w:val="0"/>
        <w:shd w:val="clear" w:color="auto" w:fill="auto"/>
        <w:bidi w:val="0"/>
        <w:spacing w:before="0" w:after="0" w:line="240" w:lineRule="auto"/>
        <w:ind w:left="0" w:right="0" w:firstLine="0"/>
        <w:jc w:val="left"/>
        <w:rPr>
          <w:rFonts w:hint="eastAsia" w:eastAsia="宋体"/>
          <w:i/>
          <w:iCs/>
          <w:color w:val="000000"/>
          <w:spacing w:val="0"/>
          <w:w w:val="100"/>
          <w:position w:val="0"/>
          <w:sz w:val="22"/>
          <w:szCs w:val="22"/>
          <w:lang w:val="en-US" w:eastAsia="zh-CN"/>
        </w:rPr>
        <w:sectPr>
          <w:footnotePr>
            <w:numFmt w:val="decimal"/>
          </w:footnotePr>
          <w:pgSz w:w="11900" w:h="16840"/>
          <w:pgMar w:top="1251" w:right="1449" w:bottom="1405" w:left="1449" w:header="1021" w:footer="1021" w:gutter="0"/>
          <w:pgNumType w:start="22"/>
          <w:cols w:space="720" w:num="1"/>
          <w:rtlGutter w:val="0"/>
          <w:docGrid w:linePitch="360" w:charSpace="0"/>
        </w:sectPr>
      </w:pPr>
      <w:r>
        <w:rPr>
          <w:color w:val="000000"/>
          <w:spacing w:val="0"/>
          <w:w w:val="100"/>
          <w:position w:val="0"/>
          <w:sz w:val="22"/>
          <w:szCs w:val="22"/>
        </w:rPr>
        <w:t>注：本表反映部门本年度的总收支和</w:t>
      </w:r>
      <w:r>
        <w:rPr>
          <w:rFonts w:hint="eastAsia"/>
          <w:color w:val="000000"/>
          <w:spacing w:val="0"/>
          <w:w w:val="100"/>
          <w:position w:val="0"/>
          <w:sz w:val="22"/>
          <w:szCs w:val="22"/>
        </w:rPr>
        <w:t>年末结转结余情况</w:t>
      </w:r>
      <w:r>
        <w:rPr>
          <w:rFonts w:hint="eastAsia"/>
          <w:color w:val="000000"/>
          <w:spacing w:val="0"/>
          <w:w w:val="100"/>
          <w:position w:val="0"/>
          <w:sz w:val="22"/>
          <w:szCs w:val="22"/>
          <w:lang w:eastAsia="zh-CN"/>
        </w:rPr>
        <w:t>。</w:t>
      </w:r>
    </w:p>
    <w:p>
      <w:pPr>
        <w:pStyle w:val="12"/>
        <w:keepNext/>
        <w:keepLines/>
        <w:widowControl w:val="0"/>
        <w:shd w:val="clear" w:color="auto" w:fill="auto"/>
        <w:bidi w:val="0"/>
        <w:spacing w:before="0" w:after="160" w:line="240" w:lineRule="auto"/>
        <w:ind w:left="0" w:right="0" w:firstLine="0"/>
        <w:jc w:val="center"/>
        <w:rPr>
          <w:sz w:val="38"/>
          <w:szCs w:val="38"/>
        </w:rPr>
      </w:pPr>
      <w:bookmarkStart w:id="3" w:name="bookmark77"/>
      <w:bookmarkStart w:id="4" w:name="bookmark76"/>
      <w:bookmarkStart w:id="5" w:name="bookmark75"/>
      <w:r>
        <w:rPr>
          <w:b w:val="0"/>
          <w:bCs w:val="0"/>
          <w:color w:val="000000"/>
          <w:spacing w:val="0"/>
          <w:w w:val="100"/>
          <w:position w:val="0"/>
          <w:sz w:val="38"/>
          <w:szCs w:val="38"/>
        </w:rPr>
        <w:t>表二：收入决算表</w:t>
      </w:r>
      <w:bookmarkEnd w:id="3"/>
      <w:bookmarkEnd w:id="4"/>
      <w:bookmarkEnd w:id="5"/>
    </w:p>
    <w:p>
      <w:pPr>
        <w:pStyle w:val="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单位：万元</w:t>
      </w:r>
    </w:p>
    <w:tbl>
      <w:tblPr>
        <w:tblStyle w:val="5"/>
        <w:tblW w:w="0" w:type="auto"/>
        <w:jc w:val="center"/>
        <w:tblLayout w:type="fixed"/>
        <w:tblCellMar>
          <w:top w:w="0" w:type="dxa"/>
          <w:left w:w="10" w:type="dxa"/>
          <w:bottom w:w="0" w:type="dxa"/>
          <w:right w:w="10" w:type="dxa"/>
        </w:tblCellMar>
      </w:tblPr>
      <w:tblGrid>
        <w:gridCol w:w="970"/>
        <w:gridCol w:w="2405"/>
        <w:gridCol w:w="1550"/>
        <w:gridCol w:w="1536"/>
        <w:gridCol w:w="1546"/>
        <w:gridCol w:w="1541"/>
        <w:gridCol w:w="1541"/>
        <w:gridCol w:w="1541"/>
        <w:gridCol w:w="1555"/>
      </w:tblGrid>
      <w:tr>
        <w:tblPrEx>
          <w:tblCellMar>
            <w:top w:w="0" w:type="dxa"/>
            <w:left w:w="10" w:type="dxa"/>
            <w:bottom w:w="0" w:type="dxa"/>
            <w:right w:w="10" w:type="dxa"/>
          </w:tblCellMar>
        </w:tblPrEx>
        <w:trPr>
          <w:trHeight w:val="336" w:hRule="exact"/>
          <w:jc w:val="center"/>
        </w:trPr>
        <w:tc>
          <w:tcPr>
            <w:tcW w:w="3375" w:type="dxa"/>
            <w:gridSpan w:val="2"/>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支出功能项目</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本年收入合计</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财政拨款收入</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上级补助收入</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事业收入</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经营收入</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附属单位上缴 收入</w:t>
            </w:r>
          </w:p>
        </w:tc>
        <w:tc>
          <w:tcPr>
            <w:vMerge w:val="restart"/>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其他收入</w:t>
            </w:r>
          </w:p>
        </w:tc>
      </w:tr>
      <w:tr>
        <w:tblPrEx>
          <w:tblCellMar>
            <w:top w:w="0" w:type="dxa"/>
            <w:left w:w="10" w:type="dxa"/>
            <w:bottom w:w="0" w:type="dxa"/>
            <w:right w:w="10" w:type="dxa"/>
          </w:tblCellMar>
        </w:tblPrEx>
        <w:trPr>
          <w:trHeight w:val="1272" w:hRule="exact"/>
          <w:jc w:val="center"/>
        </w:trPr>
        <w:tc>
          <w:tcPr>
            <w:tcW w:w="970"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支出功 能分类 科目编 码</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科目名称</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6" w:hRule="exact"/>
          <w:jc w:val="center"/>
        </w:trPr>
        <w:tc>
          <w:tcPr>
            <w:tcW w:w="3375" w:type="dxa"/>
            <w:gridSpan w:val="2"/>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栏次</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760"/>
              <w:jc w:val="left"/>
              <w:rPr>
                <w:sz w:val="20"/>
                <w:szCs w:val="20"/>
              </w:rPr>
            </w:pPr>
            <w:r>
              <w:rPr>
                <w:color w:val="000000"/>
                <w:spacing w:val="0"/>
                <w:w w:val="100"/>
                <w:position w:val="0"/>
                <w:sz w:val="20"/>
                <w:szCs w:val="20"/>
              </w:rPr>
              <w:t>5</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w:t>
            </w:r>
          </w:p>
        </w:tc>
      </w:tr>
      <w:tr>
        <w:tblPrEx>
          <w:tblCellMar>
            <w:top w:w="0" w:type="dxa"/>
            <w:left w:w="10" w:type="dxa"/>
            <w:bottom w:w="0" w:type="dxa"/>
            <w:right w:w="10" w:type="dxa"/>
          </w:tblCellMar>
        </w:tblPrEx>
        <w:trPr>
          <w:trHeight w:val="322" w:hRule="exact"/>
          <w:jc w:val="center"/>
        </w:trPr>
        <w:tc>
          <w:tcPr>
            <w:tcW w:w="3375" w:type="dxa"/>
            <w:gridSpan w:val="2"/>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199.71</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199.71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一般公共服务支出</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20128</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民主党派及工商联事务</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2012801</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行政运行</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2012804</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参政议政</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社会保障和就业支出</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行政事业单位离退休</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7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2080501</w:t>
            </w:r>
          </w:p>
        </w:tc>
        <w:tc>
          <w:tcPr>
            <w:tcW w:w="240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55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4.66</w:t>
            </w:r>
          </w:p>
        </w:tc>
        <w:tc>
          <w:tcPr>
            <w:tcW w:w="1536"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4.66</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2080505</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15.37</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15.37</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卫生健康支出</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行政事业单位医疗</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2101101</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6.62</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6.62</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2101103</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9.70</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9.70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住房保障支出</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住房改革支出</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2210201</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住房公积金</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10.59</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10.59</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2210203</w:t>
            </w:r>
          </w:p>
        </w:tc>
        <w:tc>
          <w:tcPr>
            <w:tcW w:w="240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购房补贴</w:t>
            </w:r>
          </w:p>
        </w:tc>
        <w:tc>
          <w:tcPr>
            <w:tcW w:w="155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1.58</w:t>
            </w:r>
          </w:p>
        </w:tc>
        <w:tc>
          <w:tcPr>
            <w:tcW w:w="15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1.58</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3"/>
        <w:keepNext w:val="0"/>
        <w:keepLines w:val="0"/>
        <w:widowControl w:val="0"/>
        <w:shd w:val="clear" w:color="auto" w:fill="auto"/>
        <w:bidi w:val="0"/>
        <w:spacing w:before="0" w:after="0" w:line="240" w:lineRule="auto"/>
        <w:ind w:left="0" w:leftChars="0" w:right="0" w:firstLine="0" w:firstLineChars="0"/>
        <w:jc w:val="left"/>
        <w:rPr>
          <w:sz w:val="22"/>
          <w:szCs w:val="22"/>
        </w:rPr>
        <w:sectPr>
          <w:footnotePr>
            <w:numFmt w:val="decimal"/>
          </w:footnotePr>
          <w:pgSz w:w="16840" w:h="11900" w:orient="landscape"/>
          <w:pgMar w:top="1449" w:right="1251" w:bottom="1449" w:left="1405" w:header="1021" w:footer="1021" w:gutter="0"/>
          <w:pgNumType w:start="22"/>
          <w:cols w:space="720" w:num="1"/>
          <w:rtlGutter w:val="0"/>
          <w:docGrid w:linePitch="360" w:charSpace="0"/>
        </w:sectPr>
      </w:pPr>
      <w:r>
        <w:rPr>
          <w:color w:val="000000"/>
          <w:spacing w:val="0"/>
          <w:w w:val="100"/>
          <w:position w:val="0"/>
          <w:sz w:val="22"/>
          <w:szCs w:val="22"/>
        </w:rPr>
        <w:t>注：本表反映部门本年度取得的各项收入情况。</w:t>
      </w:r>
    </w:p>
    <w:p>
      <w:pPr>
        <w:pStyle w:val="12"/>
        <w:keepNext/>
        <w:keepLines/>
        <w:widowControl w:val="0"/>
        <w:shd w:val="clear" w:color="auto" w:fill="auto"/>
        <w:bidi w:val="0"/>
        <w:spacing w:before="0" w:after="140" w:line="240" w:lineRule="auto"/>
        <w:ind w:left="0" w:right="0" w:firstLine="0"/>
        <w:jc w:val="center"/>
        <w:rPr>
          <w:sz w:val="38"/>
          <w:szCs w:val="38"/>
        </w:rPr>
      </w:pPr>
      <w:bookmarkStart w:id="6" w:name="bookmark80"/>
      <w:bookmarkStart w:id="7" w:name="bookmark79"/>
      <w:bookmarkStart w:id="8" w:name="bookmark78"/>
      <w:r>
        <w:rPr>
          <w:b w:val="0"/>
          <w:bCs w:val="0"/>
          <w:color w:val="000000"/>
          <w:spacing w:val="0"/>
          <w:w w:val="100"/>
          <w:position w:val="0"/>
          <w:sz w:val="38"/>
          <w:szCs w:val="38"/>
        </w:rPr>
        <w:t>表三：支出决算表</w:t>
      </w:r>
      <w:bookmarkEnd w:id="6"/>
      <w:bookmarkEnd w:id="7"/>
      <w:bookmarkEnd w:id="8"/>
    </w:p>
    <w:p>
      <w:pPr>
        <w:pStyle w:val="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单位：万元</w:t>
      </w:r>
    </w:p>
    <w:tbl>
      <w:tblPr>
        <w:tblStyle w:val="5"/>
        <w:tblW w:w="14097" w:type="dxa"/>
        <w:jc w:val="center"/>
        <w:tblLayout w:type="fixed"/>
        <w:tblCellMar>
          <w:top w:w="0" w:type="dxa"/>
          <w:left w:w="10" w:type="dxa"/>
          <w:bottom w:w="0" w:type="dxa"/>
          <w:right w:w="10" w:type="dxa"/>
        </w:tblCellMar>
      </w:tblPr>
      <w:tblGrid>
        <w:gridCol w:w="1195"/>
        <w:gridCol w:w="1819"/>
        <w:gridCol w:w="1982"/>
        <w:gridCol w:w="1848"/>
        <w:gridCol w:w="1704"/>
        <w:gridCol w:w="1704"/>
        <w:gridCol w:w="1843"/>
        <w:gridCol w:w="2002"/>
      </w:tblGrid>
      <w:tr>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780"/>
              <w:jc w:val="both"/>
              <w:rPr>
                <w:sz w:val="28"/>
                <w:szCs w:val="28"/>
              </w:rPr>
            </w:pPr>
            <w:r>
              <w:rPr>
                <w:color w:val="000000"/>
                <w:spacing w:val="0"/>
                <w:w w:val="100"/>
                <w:position w:val="0"/>
                <w:sz w:val="22"/>
                <w:szCs w:val="22"/>
              </w:rPr>
              <w:t>支</w:t>
            </w:r>
            <w:r>
              <w:rPr>
                <w:rFonts w:ascii="Times New Roman" w:hAnsi="Times New Roman" w:eastAsia="Times New Roman" w:cs="Times New Roman"/>
                <w:color w:val="000000"/>
                <w:spacing w:val="0"/>
                <w:w w:val="100"/>
                <w:position w:val="0"/>
                <w:sz w:val="28"/>
                <w:szCs w:val="28"/>
                <w:lang w:val="en-US" w:eastAsia="en-US" w:bidi="en-US"/>
              </w:rPr>
              <w:t>H</w:t>
            </w:r>
            <w:r>
              <w:rPr>
                <w:color w:val="000000"/>
                <w:spacing w:val="0"/>
                <w:w w:val="100"/>
                <w:position w:val="0"/>
                <w:sz w:val="28"/>
                <w:szCs w:val="28"/>
                <w:lang w:val="en-US" w:eastAsia="en-US" w:bidi="en-US"/>
              </w:rPr>
              <w:t>：</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功能项目</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本年支出合计</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基本支出</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项目支出</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上缴上级支出</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经营支出</w:t>
            </w:r>
          </w:p>
        </w:tc>
        <w:tc>
          <w:tcPr>
            <w:vMerge w:val="restart"/>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55" w:lineRule="exact"/>
              <w:ind w:left="0" w:right="0" w:firstLine="0"/>
              <w:jc w:val="center"/>
              <w:rPr>
                <w:sz w:val="22"/>
                <w:szCs w:val="22"/>
              </w:rPr>
            </w:pPr>
            <w:r>
              <w:rPr>
                <w:color w:val="000000"/>
                <w:spacing w:val="0"/>
                <w:w w:val="100"/>
                <w:position w:val="0"/>
                <w:sz w:val="22"/>
                <w:szCs w:val="22"/>
              </w:rPr>
              <w:t>对附属单位补助支 出</w:t>
            </w:r>
          </w:p>
        </w:tc>
      </w:tr>
      <w:tr>
        <w:tblPrEx>
          <w:tblCellMar>
            <w:top w:w="0" w:type="dxa"/>
            <w:left w:w="10" w:type="dxa"/>
            <w:bottom w:w="0" w:type="dxa"/>
            <w:right w:w="10" w:type="dxa"/>
          </w:tblCellMar>
        </w:tblPrEx>
        <w:trPr>
          <w:trHeight w:val="960"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支出功能 分类科目 编码</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科目名称</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2" w:hRule="exact"/>
          <w:jc w:val="center"/>
        </w:trPr>
        <w:tc>
          <w:tcPr>
            <w:gridSpan w:val="2"/>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2100" w:right="0" w:firstLine="0"/>
              <w:jc w:val="left"/>
              <w:rPr>
                <w:sz w:val="22"/>
                <w:szCs w:val="22"/>
              </w:rPr>
            </w:pPr>
            <w:r>
              <w:rPr>
                <w:color w:val="000000"/>
                <w:spacing w:val="0"/>
                <w:w w:val="100"/>
                <w:position w:val="0"/>
                <w:sz w:val="22"/>
                <w:szCs w:val="22"/>
              </w:rPr>
              <w:t>栏次</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980"/>
              <w:jc w:val="left"/>
              <w:rPr>
                <w:sz w:val="20"/>
                <w:szCs w:val="20"/>
              </w:rPr>
            </w:pPr>
            <w:r>
              <w:rPr>
                <w:color w:val="000000"/>
                <w:spacing w:val="0"/>
                <w:w w:val="100"/>
                <w:position w:val="0"/>
                <w:sz w:val="20"/>
                <w:szCs w:val="20"/>
              </w:rPr>
              <w:t>3</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980"/>
              <w:jc w:val="left"/>
              <w:rPr>
                <w:sz w:val="20"/>
                <w:szCs w:val="20"/>
              </w:rPr>
            </w:pPr>
            <w:r>
              <w:rPr>
                <w:color w:val="000000"/>
                <w:spacing w:val="0"/>
                <w:w w:val="100"/>
                <w:position w:val="0"/>
                <w:sz w:val="20"/>
                <w:szCs w:val="20"/>
              </w:rPr>
              <w:t>5</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w:t>
            </w:r>
          </w:p>
        </w:tc>
      </w:tr>
      <w:tr>
        <w:tblPrEx>
          <w:tblCellMar>
            <w:top w:w="0" w:type="dxa"/>
            <w:left w:w="10" w:type="dxa"/>
            <w:bottom w:w="0" w:type="dxa"/>
            <w:right w:w="10" w:type="dxa"/>
          </w:tblCellMar>
        </w:tblPrEx>
        <w:trPr>
          <w:trHeight w:val="322" w:hRule="exact"/>
          <w:jc w:val="center"/>
        </w:trPr>
        <w:tc>
          <w:tcPr>
            <w:gridSpan w:val="2"/>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2100" w:right="0" w:firstLine="0"/>
              <w:jc w:val="left"/>
              <w:rPr>
                <w:sz w:val="22"/>
                <w:szCs w:val="22"/>
              </w:rPr>
            </w:pPr>
            <w:r>
              <w:rPr>
                <w:color w:val="000000"/>
                <w:spacing w:val="0"/>
                <w:w w:val="100"/>
                <w:position w:val="0"/>
                <w:sz w:val="22"/>
                <w:szCs w:val="22"/>
              </w:rPr>
              <w:t>合计</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199.71</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163.33</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一般公共服务支出</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20128</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民主党派及工商联事务</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2012801</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行政运行</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2012804</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参政议政</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社会保障和就业支出</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行政事业单位离退休</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2080501</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4.66</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4.66</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195"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2080505</w:t>
            </w:r>
          </w:p>
        </w:tc>
        <w:tc>
          <w:tcPr>
            <w:tcW w:w="1819"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82"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15.37</w:t>
            </w:r>
          </w:p>
        </w:tc>
        <w:tc>
          <w:tcPr>
            <w:tcW w:w="1848"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15.37</w:t>
            </w:r>
          </w:p>
        </w:tc>
        <w:tc>
          <w:tcPr>
            <w:tcW w:w="17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卫生健康支出</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行政事业单位医疗</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2101101</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6.62</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6.62</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2101103</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9.70</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9.70</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住房保障支出</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住房改革支出</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2210201</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住房公积金</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10.59</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10.59</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19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2210203</w:t>
            </w:r>
          </w:p>
        </w:tc>
        <w:tc>
          <w:tcPr>
            <w:tcW w:w="181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购房补贴</w:t>
            </w:r>
          </w:p>
        </w:tc>
        <w:tc>
          <w:tcPr>
            <w:tcW w:w="19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1.58</w:t>
            </w:r>
          </w:p>
        </w:tc>
        <w:tc>
          <w:tcPr>
            <w:tcW w:w="184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1.58</w:t>
            </w:r>
          </w:p>
        </w:tc>
        <w:tc>
          <w:tcPr>
            <w:tcW w:w="17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3"/>
        <w:keepNext w:val="0"/>
        <w:keepLines w:val="0"/>
        <w:widowControl w:val="0"/>
        <w:shd w:val="clear" w:color="auto" w:fill="auto"/>
        <w:bidi w:val="0"/>
        <w:spacing w:before="0" w:after="0" w:line="240" w:lineRule="auto"/>
        <w:ind w:left="34" w:right="0" w:firstLine="0"/>
        <w:jc w:val="left"/>
        <w:rPr>
          <w:sz w:val="22"/>
          <w:szCs w:val="22"/>
        </w:rPr>
      </w:pPr>
      <w:r>
        <w:rPr>
          <w:color w:val="000000"/>
          <w:spacing w:val="0"/>
          <w:w w:val="100"/>
          <w:position w:val="0"/>
          <w:sz w:val="22"/>
          <w:szCs w:val="22"/>
        </w:rPr>
        <w:t>注：本表反映部门本年度各项支出情况。</w:t>
      </w:r>
      <w:r>
        <w:br w:type="page"/>
      </w:r>
    </w:p>
    <w:p>
      <w:pPr>
        <w:pStyle w:val="12"/>
        <w:keepNext/>
        <w:keepLines/>
        <w:widowControl w:val="0"/>
        <w:shd w:val="clear" w:color="auto" w:fill="auto"/>
        <w:bidi w:val="0"/>
        <w:spacing w:before="0" w:after="120" w:line="240" w:lineRule="auto"/>
        <w:ind w:left="3600" w:right="0" w:firstLine="0"/>
        <w:jc w:val="left"/>
        <w:rPr>
          <w:sz w:val="38"/>
          <w:szCs w:val="38"/>
        </w:rPr>
      </w:pPr>
      <w:bookmarkStart w:id="9" w:name="bookmark82"/>
      <w:bookmarkStart w:id="10" w:name="bookmark81"/>
      <w:bookmarkStart w:id="11" w:name="bookmark83"/>
      <w:r>
        <w:rPr>
          <w:b w:val="0"/>
          <w:bCs w:val="0"/>
          <w:color w:val="000000"/>
          <w:spacing w:val="0"/>
          <w:w w:val="100"/>
          <w:position w:val="0"/>
          <w:sz w:val="38"/>
          <w:szCs w:val="38"/>
        </w:rPr>
        <w:t>表四：财政拨款收入支出决算总表</w:t>
      </w:r>
      <w:bookmarkEnd w:id="9"/>
      <w:bookmarkEnd w:id="10"/>
      <w:bookmarkEnd w:id="11"/>
    </w:p>
    <w:tbl>
      <w:tblPr>
        <w:tblStyle w:val="5"/>
        <w:tblW w:w="0" w:type="auto"/>
        <w:jc w:val="center"/>
        <w:tblLayout w:type="fixed"/>
        <w:tblCellMar>
          <w:top w:w="0" w:type="dxa"/>
          <w:left w:w="10" w:type="dxa"/>
          <w:bottom w:w="0" w:type="dxa"/>
          <w:right w:w="10" w:type="dxa"/>
        </w:tblCellMar>
      </w:tblPr>
      <w:tblGrid>
        <w:gridCol w:w="3947"/>
        <w:gridCol w:w="775"/>
        <w:gridCol w:w="1278"/>
        <w:gridCol w:w="3384"/>
        <w:gridCol w:w="682"/>
        <w:gridCol w:w="1267"/>
        <w:gridCol w:w="1147"/>
        <w:gridCol w:w="1330"/>
      </w:tblGrid>
      <w:tr>
        <w:tblPrEx>
          <w:tblCellMar>
            <w:top w:w="0" w:type="dxa"/>
            <w:left w:w="10" w:type="dxa"/>
            <w:bottom w:w="0" w:type="dxa"/>
            <w:right w:w="10" w:type="dxa"/>
          </w:tblCellMar>
        </w:tblPrEx>
        <w:trPr>
          <w:trHeight w:val="341" w:hRule="exact"/>
          <w:jc w:val="center"/>
        </w:trPr>
        <w:tc>
          <w:tcPr>
            <w:gridSpan w:val="3"/>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收入</w:t>
            </w:r>
          </w:p>
        </w:tc>
        <w:tc>
          <w:tcPr>
            <w:gridSpan w:val="5"/>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支出</w:t>
            </w:r>
          </w:p>
        </w:tc>
      </w:tr>
      <w:tr>
        <w:tblPrEx>
          <w:tblCellMar>
            <w:top w:w="0" w:type="dxa"/>
            <w:left w:w="10" w:type="dxa"/>
            <w:bottom w:w="0" w:type="dxa"/>
            <w:right w:w="10" w:type="dxa"/>
          </w:tblCellMar>
        </w:tblPrEx>
        <w:trPr>
          <w:trHeight w:val="950" w:hRule="exact"/>
          <w:jc w:val="center"/>
        </w:trPr>
        <w:tc>
          <w:tcPr>
            <w:tcW w:w="3947"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项目</w:t>
            </w:r>
          </w:p>
        </w:tc>
        <w:tc>
          <w:tcPr>
            <w:tcW w:w="77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2" w:lineRule="exact"/>
              <w:ind w:left="140" w:right="0" w:firstLine="40"/>
              <w:jc w:val="left"/>
              <w:rPr>
                <w:sz w:val="22"/>
                <w:szCs w:val="22"/>
              </w:rPr>
            </w:pPr>
            <w:r>
              <w:rPr>
                <w:color w:val="000000"/>
                <w:spacing w:val="0"/>
                <w:w w:val="100"/>
                <w:position w:val="0"/>
                <w:sz w:val="22"/>
                <w:szCs w:val="22"/>
              </w:rPr>
              <w:t>行 次</w:t>
            </w:r>
          </w:p>
        </w:tc>
        <w:tc>
          <w:tcPr>
            <w:tcW w:w="1278"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金 额</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项目</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行次</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一般公共 预算财政 拨款</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政府性基金 预算财政拨 款</w:t>
            </w: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栏次</w:t>
            </w:r>
          </w:p>
        </w:tc>
        <w:tc>
          <w:tcPr>
            <w:tcW w:w="775" w:type="dxa"/>
            <w:tcBorders>
              <w:top w:val="single" w:color="auto" w:sz="4" w:space="0"/>
              <w:left w:val="single" w:color="auto" w:sz="4" w:space="0"/>
            </w:tcBorders>
            <w:shd w:val="clear" w:color="auto" w:fill="FFFFFF"/>
            <w:vAlign w:val="top"/>
          </w:tcPr>
          <w:p>
            <w:pPr>
              <w:widowControl w:val="0"/>
              <w:rPr>
                <w:sz w:val="10"/>
                <w:szCs w:val="10"/>
              </w:rPr>
            </w:pPr>
          </w:p>
        </w:tc>
        <w:tc>
          <w:tcPr>
            <w:tcW w:w="1278" w:type="dxa"/>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980"/>
              <w:jc w:val="left"/>
              <w:rPr>
                <w:sz w:val="22"/>
                <w:szCs w:val="22"/>
              </w:rPr>
            </w:pPr>
            <w:r>
              <w:rPr>
                <w:color w:val="000000"/>
                <w:spacing w:val="0"/>
                <w:w w:val="100"/>
                <w:position w:val="0"/>
                <w:sz w:val="22"/>
                <w:szCs w:val="22"/>
              </w:rPr>
              <w:t>栏次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一、一般公共预算财政拨款收入</w:t>
            </w: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w:t>
            </w:r>
          </w:p>
        </w:tc>
        <w:tc>
          <w:tcPr>
            <w:tcW w:w="127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199.71</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一、一般公共服务支出</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18</w:t>
            </w:r>
          </w:p>
        </w:tc>
        <w:tc>
          <w:tcPr>
            <w:tcW w:w="126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114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二、政府性基金预算财政拨款收入</w:t>
            </w: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二、外交支出</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19</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三、教育支出</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四、科学技术支出</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5</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五、文化旅游体育与传媒支出</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6</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六、社会保障和就业支出</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7</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八、社会保障和就业支出</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2"/>
                <w:szCs w:val="22"/>
              </w:rPr>
            </w:pPr>
            <w:r>
              <w:rPr>
                <w:rFonts w:hint="eastAsia" w:ascii="宋体" w:hAnsi="宋体" w:eastAsia="宋体" w:cs="宋体"/>
                <w:i w:val="0"/>
                <w:iCs w:val="0"/>
                <w:color w:val="000000"/>
                <w:spacing w:val="0"/>
                <w:w w:val="100"/>
                <w:position w:val="0"/>
                <w:sz w:val="22"/>
                <w:szCs w:val="22"/>
                <w:shd w:val="clear" w:color="auto" w:fill="auto"/>
              </w:rPr>
              <w:t>24</w:t>
            </w:r>
          </w:p>
        </w:tc>
        <w:tc>
          <w:tcPr>
            <w:tcW w:w="126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114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3"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leftChars="0" w:right="0" w:firstLine="200" w:firstLineChars="100"/>
              <w:jc w:val="left"/>
              <w:rPr>
                <w:sz w:val="20"/>
                <w:szCs w:val="20"/>
              </w:rPr>
            </w:pPr>
            <w:r>
              <w:rPr>
                <w:color w:val="000000"/>
                <w:spacing w:val="0"/>
                <w:w w:val="100"/>
                <w:position w:val="0"/>
                <w:sz w:val="20"/>
                <w:szCs w:val="20"/>
              </w:rPr>
              <w:t>8</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九、卫生健康支出</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25</w:t>
            </w:r>
          </w:p>
        </w:tc>
        <w:tc>
          <w:tcPr>
            <w:tcW w:w="126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114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9</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十九、住房保障支出</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26</w:t>
            </w:r>
          </w:p>
        </w:tc>
        <w:tc>
          <w:tcPr>
            <w:tcW w:w="126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1147"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10</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27</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11</w:t>
            </w:r>
          </w:p>
        </w:tc>
        <w:tc>
          <w:tcPr>
            <w:tcW w:w="12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28</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3947"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1640" w:right="0" w:firstLine="0"/>
              <w:jc w:val="left"/>
              <w:rPr>
                <w:sz w:val="22"/>
                <w:szCs w:val="22"/>
              </w:rPr>
            </w:pPr>
            <w:r>
              <w:rPr>
                <w:color w:val="000000"/>
                <w:spacing w:val="0"/>
                <w:w w:val="100"/>
                <w:position w:val="0"/>
                <w:sz w:val="22"/>
                <w:szCs w:val="22"/>
              </w:rPr>
              <w:t>本年收入合计</w:t>
            </w: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12</w:t>
            </w:r>
          </w:p>
        </w:tc>
        <w:tc>
          <w:tcPr>
            <w:tcW w:w="12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199.71</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980"/>
              <w:jc w:val="left"/>
              <w:rPr>
                <w:sz w:val="22"/>
                <w:szCs w:val="22"/>
              </w:rPr>
            </w:pPr>
            <w:r>
              <w:rPr>
                <w:color w:val="000000"/>
                <w:spacing w:val="0"/>
                <w:w w:val="100"/>
                <w:position w:val="0"/>
                <w:sz w:val="22"/>
                <w:szCs w:val="22"/>
              </w:rPr>
              <w:t>本年支出合计</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29</w:t>
            </w:r>
          </w:p>
        </w:tc>
        <w:tc>
          <w:tcPr>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199.71</w:t>
            </w: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980"/>
              <w:jc w:val="left"/>
              <w:rPr>
                <w:sz w:val="22"/>
                <w:szCs w:val="22"/>
              </w:rPr>
            </w:pPr>
            <w:r>
              <w:rPr>
                <w:color w:val="000000"/>
                <w:spacing w:val="0"/>
                <w:w w:val="100"/>
                <w:position w:val="0"/>
                <w:sz w:val="22"/>
                <w:szCs w:val="22"/>
              </w:rPr>
              <w:t>年初财政拨款结转和结余</w:t>
            </w: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13</w:t>
            </w:r>
          </w:p>
        </w:tc>
        <w:tc>
          <w:tcPr>
            <w:tcW w:w="127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年末财政拨款结转和结余</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30</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3947"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1640" w:right="0" w:firstLine="0"/>
              <w:jc w:val="left"/>
              <w:rPr>
                <w:sz w:val="22"/>
                <w:szCs w:val="22"/>
              </w:rPr>
            </w:pPr>
            <w:r>
              <w:rPr>
                <w:color w:val="000000"/>
                <w:spacing w:val="0"/>
                <w:w w:val="100"/>
                <w:position w:val="0"/>
                <w:sz w:val="22"/>
                <w:szCs w:val="22"/>
              </w:rPr>
              <w:t>一般公共预算财政拨款</w:t>
            </w: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14</w:t>
            </w:r>
          </w:p>
        </w:tc>
        <w:tc>
          <w:tcPr>
            <w:tcW w:w="127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31</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3947"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1640" w:right="0" w:firstLine="0"/>
              <w:jc w:val="left"/>
              <w:rPr>
                <w:sz w:val="22"/>
                <w:szCs w:val="22"/>
              </w:rPr>
            </w:pPr>
            <w:r>
              <w:rPr>
                <w:color w:val="000000"/>
                <w:spacing w:val="0"/>
                <w:w w:val="100"/>
                <w:position w:val="0"/>
                <w:sz w:val="22"/>
                <w:szCs w:val="22"/>
              </w:rPr>
              <w:t>政府性基金预算财政拨款</w:t>
            </w:r>
          </w:p>
        </w:tc>
        <w:tc>
          <w:tcPr>
            <w:tcW w:w="775"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15</w:t>
            </w:r>
          </w:p>
        </w:tc>
        <w:tc>
          <w:tcPr>
            <w:tcW w:w="127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32</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W w:w="3947" w:type="dxa"/>
            <w:tcBorders>
              <w:top w:val="single" w:color="auto" w:sz="4" w:space="0"/>
              <w:left w:val="single" w:color="auto" w:sz="4" w:space="0"/>
            </w:tcBorders>
            <w:shd w:val="clear" w:color="auto" w:fill="FFFFFF"/>
            <w:vAlign w:val="top"/>
          </w:tcPr>
          <w:p>
            <w:pPr>
              <w:widowControl w:val="0"/>
              <w:rPr>
                <w:sz w:val="10"/>
                <w:szCs w:val="10"/>
              </w:rPr>
            </w:pPr>
          </w:p>
        </w:tc>
        <w:tc>
          <w:tcPr>
            <w:tcW w:w="775"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16</w:t>
            </w:r>
          </w:p>
        </w:tc>
        <w:tc>
          <w:tcPr>
            <w:tcW w:w="1278"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33</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947" w:type="dxa"/>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W w:w="775" w:type="dxa"/>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17</w:t>
            </w:r>
          </w:p>
        </w:tc>
        <w:tc>
          <w:tcPr>
            <w:tcW w:w="127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199.71</w:t>
            </w:r>
          </w:p>
        </w:tc>
        <w:tc>
          <w:tcPr>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34</w:t>
            </w:r>
          </w:p>
        </w:tc>
        <w:tc>
          <w:tcPr>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199.71</w:t>
            </w:r>
          </w:p>
        </w:tc>
      </w:tr>
    </w:tbl>
    <w:p>
      <w:pPr>
        <w:pStyle w:val="13"/>
        <w:keepNext w:val="0"/>
        <w:keepLines w:val="0"/>
        <w:widowControl w:val="0"/>
        <w:shd w:val="clear" w:color="auto" w:fill="auto"/>
        <w:bidi w:val="0"/>
        <w:spacing w:before="0" w:after="0" w:line="240" w:lineRule="auto"/>
        <w:ind w:left="12648" w:right="0" w:firstLine="0"/>
        <w:jc w:val="left"/>
        <w:rPr>
          <w:sz w:val="22"/>
          <w:szCs w:val="22"/>
        </w:rPr>
      </w:pPr>
      <w:r>
        <w:rPr>
          <w:color w:val="000000"/>
          <w:spacing w:val="0"/>
          <w:w w:val="100"/>
          <w:position w:val="0"/>
          <w:sz w:val="22"/>
          <w:szCs w:val="22"/>
        </w:rPr>
        <w:t>单位：万元</w:t>
      </w:r>
    </w:p>
    <w:p>
      <w:pPr>
        <w:pStyle w:val="13"/>
        <w:keepNext w:val="0"/>
        <w:keepLines w:val="0"/>
        <w:widowControl w:val="0"/>
        <w:shd w:val="clear" w:color="auto" w:fill="auto"/>
        <w:bidi w:val="0"/>
        <w:spacing w:before="0" w:after="0" w:line="240" w:lineRule="auto"/>
        <w:ind w:left="0" w:right="0" w:firstLine="0"/>
        <w:jc w:val="left"/>
        <w:rPr>
          <w:rFonts w:hint="eastAsia" w:eastAsia="宋体"/>
          <w:sz w:val="22"/>
          <w:szCs w:val="22"/>
          <w:lang w:val="en-US" w:eastAsia="zh-CN"/>
        </w:rPr>
        <w:sectPr>
          <w:footerReference r:id="rId3" w:type="default"/>
          <w:footnotePr>
            <w:numFmt w:val="decimal"/>
          </w:footnotePr>
          <w:pgSz w:w="16840" w:h="11900" w:orient="landscape"/>
          <w:pgMar w:top="1764" w:right="1325" w:bottom="1650" w:left="1417" w:header="1336" w:footer="3" w:gutter="0"/>
          <w:pgNumType w:start="7"/>
          <w:cols w:space="720" w:num="1"/>
          <w:rtlGutter w:val="0"/>
          <w:docGrid w:linePitch="360" w:charSpace="0"/>
        </w:sectPr>
      </w:pPr>
      <w:r>
        <w:rPr>
          <w:color w:val="000000"/>
          <w:spacing w:val="0"/>
          <w:w w:val="100"/>
          <w:position w:val="0"/>
          <w:sz w:val="22"/>
          <w:szCs w:val="22"/>
        </w:rPr>
        <w:t>注：本表反映部门本年度一般公共预算财政拨款和政府性基金预算财政拨款的总收支和年末结转结余情况</w:t>
      </w:r>
      <w:r>
        <w:rPr>
          <w:rFonts w:hint="eastAsia"/>
          <w:color w:val="000000"/>
          <w:spacing w:val="0"/>
          <w:w w:val="100"/>
          <w:position w:val="0"/>
          <w:sz w:val="22"/>
          <w:szCs w:val="22"/>
          <w:lang w:eastAsia="zh-CN"/>
        </w:rPr>
        <w:t>。</w:t>
      </w:r>
    </w:p>
    <w:p>
      <w:pPr>
        <w:pStyle w:val="12"/>
        <w:keepNext/>
        <w:keepLines/>
        <w:widowControl w:val="0"/>
        <w:shd w:val="clear" w:color="auto" w:fill="auto"/>
        <w:bidi w:val="0"/>
        <w:spacing w:before="0" w:after="140" w:line="240" w:lineRule="auto"/>
        <w:ind w:left="0" w:right="0" w:firstLine="0"/>
        <w:jc w:val="center"/>
        <w:rPr>
          <w:sz w:val="38"/>
          <w:szCs w:val="38"/>
        </w:rPr>
      </w:pPr>
      <w:bookmarkStart w:id="12" w:name="bookmark85"/>
      <w:bookmarkStart w:id="13" w:name="bookmark86"/>
      <w:bookmarkStart w:id="14" w:name="bookmark84"/>
      <w:r>
        <w:rPr>
          <w:b w:val="0"/>
          <w:bCs w:val="0"/>
          <w:color w:val="000000"/>
          <w:spacing w:val="0"/>
          <w:w w:val="100"/>
          <w:position w:val="0"/>
          <w:sz w:val="38"/>
          <w:szCs w:val="38"/>
        </w:rPr>
        <w:t>表五：一般公共预算财政拨款支出决算表</w:t>
      </w:r>
      <w:bookmarkEnd w:id="12"/>
      <w:bookmarkEnd w:id="13"/>
      <w:bookmarkEnd w:id="14"/>
    </w:p>
    <w:p>
      <w:pPr>
        <w:pStyle w:val="13"/>
        <w:keepNext w:val="0"/>
        <w:keepLines w:val="0"/>
        <w:widowControl w:val="0"/>
        <w:shd w:val="clear" w:color="auto" w:fill="auto"/>
        <w:bidi w:val="0"/>
        <w:spacing w:before="0" w:after="0" w:line="240" w:lineRule="auto"/>
        <w:ind w:left="12638" w:right="0" w:firstLine="0"/>
        <w:jc w:val="left"/>
        <w:rPr>
          <w:sz w:val="22"/>
          <w:szCs w:val="22"/>
        </w:rPr>
      </w:pPr>
      <w:r>
        <w:rPr>
          <w:color w:val="000000"/>
          <w:spacing w:val="0"/>
          <w:w w:val="100"/>
          <w:position w:val="0"/>
          <w:sz w:val="22"/>
          <w:szCs w:val="22"/>
        </w:rPr>
        <w:t>单位：万元</w:t>
      </w:r>
    </w:p>
    <w:tbl>
      <w:tblPr>
        <w:tblStyle w:val="5"/>
        <w:tblW w:w="0" w:type="auto"/>
        <w:jc w:val="center"/>
        <w:tblLayout w:type="fixed"/>
        <w:tblCellMar>
          <w:top w:w="0" w:type="dxa"/>
          <w:left w:w="10" w:type="dxa"/>
          <w:bottom w:w="0" w:type="dxa"/>
          <w:right w:w="10" w:type="dxa"/>
        </w:tblCellMar>
      </w:tblPr>
      <w:tblGrid>
        <w:gridCol w:w="1296"/>
        <w:gridCol w:w="3010"/>
        <w:gridCol w:w="2904"/>
        <w:gridCol w:w="2899"/>
        <w:gridCol w:w="3418"/>
      </w:tblGrid>
      <w:tr>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支出功能项目</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基本支出</w:t>
            </w:r>
          </w:p>
        </w:tc>
        <w:tc>
          <w:tcPr>
            <w:vMerge w:val="restart"/>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项目支出</w:t>
            </w:r>
          </w:p>
        </w:tc>
      </w:tr>
      <w:tr>
        <w:tblPrEx>
          <w:tblCellMar>
            <w:top w:w="0" w:type="dxa"/>
            <w:left w:w="10" w:type="dxa"/>
            <w:bottom w:w="0" w:type="dxa"/>
            <w:right w:w="10" w:type="dxa"/>
          </w:tblCellMar>
        </w:tblPrEx>
        <w:trPr>
          <w:trHeight w:val="785"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支出功能 分类科目 编码</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科目名称</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22" w:hRule="exact"/>
          <w:jc w:val="center"/>
        </w:trPr>
        <w:tc>
          <w:tcPr>
            <w:gridSpan w:val="2"/>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栏次</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1</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2</w:t>
            </w:r>
          </w:p>
        </w:tc>
        <w:tc>
          <w:tcPr>
            <w:tcBorders>
              <w:top w:val="single" w:color="auto" w:sz="4" w:space="0"/>
              <w:left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3</w:t>
            </w:r>
          </w:p>
        </w:tc>
      </w:tr>
      <w:tr>
        <w:tblPrEx>
          <w:tblCellMar>
            <w:top w:w="0" w:type="dxa"/>
            <w:left w:w="10" w:type="dxa"/>
            <w:bottom w:w="0" w:type="dxa"/>
            <w:right w:w="10" w:type="dxa"/>
          </w:tblCellMar>
        </w:tblPrEx>
        <w:trPr>
          <w:trHeight w:val="322" w:hRule="exact"/>
          <w:jc w:val="center"/>
        </w:trPr>
        <w:tc>
          <w:tcPr>
            <w:gridSpan w:val="2"/>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W w:w="29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199.71</w:t>
            </w:r>
          </w:p>
        </w:tc>
        <w:tc>
          <w:tcPr>
            <w:tcW w:w="289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163.33</w:t>
            </w:r>
          </w:p>
        </w:tc>
        <w:tc>
          <w:tcPr>
            <w:tcW w:w="341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r>
      <w:tr>
        <w:tblPrEx>
          <w:tblCellMar>
            <w:top w:w="0" w:type="dxa"/>
            <w:left w:w="10" w:type="dxa"/>
            <w:bottom w:w="0" w:type="dxa"/>
            <w:right w:w="10" w:type="dxa"/>
          </w:tblCellMar>
        </w:tblPrEx>
        <w:trPr>
          <w:trHeight w:val="322" w:hRule="exact"/>
          <w:jc w:val="center"/>
        </w:trPr>
        <w:tc>
          <w:tcPr>
            <w:tcW w:w="1296"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01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一般公共服务支出</w:t>
            </w:r>
          </w:p>
        </w:tc>
        <w:tc>
          <w:tcPr>
            <w:tcW w:w="29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289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341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r>
      <w:tr>
        <w:tblPrEx>
          <w:tblCellMar>
            <w:top w:w="0" w:type="dxa"/>
            <w:left w:w="10" w:type="dxa"/>
            <w:bottom w:w="0" w:type="dxa"/>
            <w:right w:w="10" w:type="dxa"/>
          </w:tblCellMar>
        </w:tblPrEx>
        <w:trPr>
          <w:trHeight w:val="322" w:hRule="exact"/>
          <w:jc w:val="center"/>
        </w:trPr>
        <w:tc>
          <w:tcPr>
            <w:tcW w:w="1296"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20128</w:t>
            </w:r>
          </w:p>
        </w:tc>
        <w:tc>
          <w:tcPr>
            <w:tcW w:w="301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民主党派及工商联事务</w:t>
            </w:r>
          </w:p>
        </w:tc>
        <w:tc>
          <w:tcPr>
            <w:tcW w:w="29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151.19</w:t>
            </w:r>
          </w:p>
        </w:tc>
        <w:tc>
          <w:tcPr>
            <w:tcW w:w="289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341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r>
      <w:tr>
        <w:tblPrEx>
          <w:tblCellMar>
            <w:top w:w="0" w:type="dxa"/>
            <w:left w:w="10" w:type="dxa"/>
            <w:bottom w:w="0" w:type="dxa"/>
            <w:right w:w="10" w:type="dxa"/>
          </w:tblCellMar>
        </w:tblPrEx>
        <w:trPr>
          <w:trHeight w:val="326" w:hRule="exact"/>
          <w:jc w:val="center"/>
        </w:trPr>
        <w:tc>
          <w:tcPr>
            <w:tcW w:w="1296"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2012801</w:t>
            </w:r>
          </w:p>
        </w:tc>
        <w:tc>
          <w:tcPr>
            <w:tcW w:w="301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行政运行</w:t>
            </w:r>
          </w:p>
        </w:tc>
        <w:tc>
          <w:tcPr>
            <w:tcW w:w="29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289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114.81</w:t>
            </w:r>
          </w:p>
        </w:tc>
        <w:tc>
          <w:tcPr>
            <w:tcW w:w="341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22" w:hRule="exact"/>
          <w:jc w:val="center"/>
        </w:trPr>
        <w:tc>
          <w:tcPr>
            <w:tcW w:w="1296"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2012804</w:t>
            </w:r>
          </w:p>
        </w:tc>
        <w:tc>
          <w:tcPr>
            <w:tcW w:w="301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参政议政</w:t>
            </w:r>
          </w:p>
        </w:tc>
        <w:tc>
          <w:tcPr>
            <w:tcW w:w="2904"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c>
          <w:tcPr>
            <w:tcW w:w="2899"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c>
          <w:tcPr>
            <w:tcW w:w="341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36.38</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社会保障和就业支出</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行政事业单位离退休</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20.03</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2080501</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4.66</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4.66</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2080505</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15.37</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15.37</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卫生健康支出</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行政事业单位医疗</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16.32</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2101101</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6.62</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6.62</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2101103</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9.70</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9.70</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住房保障支出</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住房改革支出</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12.17</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2210201</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住房公积金</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10.59</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10.59</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 w:type="dxa"/>
            <w:bottom w:w="0" w:type="dxa"/>
            <w:right w:w="10" w:type="dxa"/>
          </w:tblCellMar>
        </w:tblPrEx>
        <w:trPr>
          <w:trHeight w:val="341"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2210203</w:t>
            </w:r>
          </w:p>
        </w:tc>
        <w:tc>
          <w:tcPr>
            <w:tcW w:w="301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2"/>
                <w:szCs w:val="22"/>
                <w:u w:val="none"/>
                <w:lang w:val="en-US" w:eastAsia="zh-CN" w:bidi="ar"/>
              </w:rPr>
              <w:t xml:space="preserve">  购房补贴</w:t>
            </w:r>
          </w:p>
        </w:tc>
        <w:tc>
          <w:tcPr>
            <w:tcW w:w="290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1.58</w:t>
            </w:r>
          </w:p>
        </w:tc>
        <w:tc>
          <w:tcPr>
            <w:tcW w:w="289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1.58</w:t>
            </w:r>
          </w:p>
        </w:tc>
        <w:tc>
          <w:tcPr>
            <w:tcW w:w="34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2"/>
                <w:szCs w:val="22"/>
                <w:u w:val="none"/>
                <w:lang w:val="en-US" w:eastAsia="zh-CN" w:bidi="ar"/>
              </w:rPr>
              <w:t>0.00</w:t>
            </w:r>
          </w:p>
        </w:tc>
      </w:tr>
    </w:tbl>
    <w:p>
      <w:pPr>
        <w:pStyle w:val="13"/>
        <w:keepNext w:val="0"/>
        <w:keepLines w:val="0"/>
        <w:widowControl w:val="0"/>
        <w:shd w:val="clear" w:color="auto" w:fill="auto"/>
        <w:bidi w:val="0"/>
        <w:spacing w:before="0" w:after="0" w:line="240" w:lineRule="auto"/>
        <w:ind w:left="0" w:right="0" w:firstLine="0"/>
        <w:jc w:val="left"/>
        <w:rPr>
          <w:sz w:val="22"/>
          <w:szCs w:val="22"/>
        </w:rPr>
        <w:sectPr>
          <w:footerReference r:id="rId4" w:type="default"/>
          <w:footnotePr>
            <w:numFmt w:val="decimal"/>
          </w:footnotePr>
          <w:pgSz w:w="16840" w:h="11900" w:orient="landscape"/>
          <w:pgMar w:top="1764" w:right="1325" w:bottom="1650" w:left="1417" w:header="1336" w:footer="3" w:gutter="0"/>
          <w:cols w:space="720" w:num="1"/>
          <w:rtlGutter w:val="0"/>
          <w:docGrid w:linePitch="360" w:charSpace="0"/>
        </w:sectPr>
      </w:pPr>
      <w:r>
        <w:rPr>
          <w:color w:val="000000"/>
          <w:spacing w:val="0"/>
          <w:w w:val="100"/>
          <w:position w:val="0"/>
          <w:sz w:val="22"/>
          <w:szCs w:val="22"/>
        </w:rPr>
        <w:t>注：本表反映部门本年度一般公共预算财政拨款实际支出情况。</w:t>
      </w:r>
    </w:p>
    <w:p>
      <w:pPr>
        <w:pStyle w:val="12"/>
        <w:keepNext/>
        <w:keepLines/>
        <w:widowControl w:val="0"/>
        <w:shd w:val="clear" w:color="auto" w:fill="auto"/>
        <w:bidi w:val="0"/>
        <w:spacing w:before="0" w:after="760" w:line="240" w:lineRule="auto"/>
        <w:ind w:left="0" w:right="0" w:firstLine="560"/>
        <w:jc w:val="left"/>
        <w:rPr>
          <w:sz w:val="38"/>
          <w:szCs w:val="38"/>
        </w:rPr>
      </w:pPr>
      <w:bookmarkStart w:id="15" w:name="bookmark89"/>
      <w:bookmarkStart w:id="16" w:name="bookmark87"/>
      <w:bookmarkStart w:id="17" w:name="bookmark88"/>
      <w:r>
        <w:rPr>
          <w:b w:val="0"/>
          <w:bCs w:val="0"/>
          <w:color w:val="000000"/>
          <w:spacing w:val="0"/>
          <w:w w:val="100"/>
          <w:position w:val="0"/>
          <w:sz w:val="38"/>
          <w:szCs w:val="38"/>
        </w:rPr>
        <w:t>表六：一般公共预算财政拨款基本支出决算表</w:t>
      </w:r>
      <w:bookmarkEnd w:id="15"/>
      <w:bookmarkEnd w:id="16"/>
      <w:bookmarkEnd w:id="17"/>
    </w:p>
    <w:p>
      <w:pPr>
        <w:pStyle w:val="13"/>
        <w:keepNext w:val="0"/>
        <w:keepLines w:val="0"/>
        <w:widowControl w:val="0"/>
        <w:shd w:val="clear" w:color="auto" w:fill="auto"/>
        <w:bidi w:val="0"/>
        <w:spacing w:before="0" w:after="0" w:line="240" w:lineRule="auto"/>
        <w:ind w:left="6926" w:right="0" w:firstLine="0"/>
        <w:jc w:val="left"/>
        <w:rPr>
          <w:sz w:val="22"/>
          <w:szCs w:val="22"/>
        </w:rPr>
      </w:pPr>
      <w:r>
        <w:rPr>
          <w:color w:val="000000"/>
          <w:spacing w:val="0"/>
          <w:w w:val="100"/>
          <w:position w:val="0"/>
          <w:sz w:val="22"/>
          <w:szCs w:val="22"/>
        </w:rPr>
        <w:t>单位：万元</w:t>
      </w:r>
    </w:p>
    <w:tbl>
      <w:tblPr>
        <w:tblStyle w:val="5"/>
        <w:tblW w:w="0" w:type="auto"/>
        <w:jc w:val="center"/>
        <w:tblLayout w:type="fixed"/>
        <w:tblCellMar>
          <w:top w:w="0" w:type="dxa"/>
          <w:left w:w="10" w:type="dxa"/>
          <w:bottom w:w="0" w:type="dxa"/>
          <w:right w:w="10" w:type="dxa"/>
        </w:tblCellMar>
      </w:tblPr>
      <w:tblGrid>
        <w:gridCol w:w="931"/>
        <w:gridCol w:w="3254"/>
        <w:gridCol w:w="830"/>
        <w:gridCol w:w="850"/>
        <w:gridCol w:w="1718"/>
        <w:gridCol w:w="1627"/>
      </w:tblGrid>
      <w:tr>
        <w:tblPrEx>
          <w:tblCellMar>
            <w:top w:w="0" w:type="dxa"/>
            <w:left w:w="10" w:type="dxa"/>
            <w:bottom w:w="0" w:type="dxa"/>
            <w:right w:w="10" w:type="dxa"/>
          </w:tblCellMar>
        </w:tblPrEx>
        <w:trPr>
          <w:trHeight w:val="590" w:hRule="exact"/>
          <w:jc w:val="center"/>
        </w:trPr>
        <w:tc>
          <w:tcPr>
            <w:gridSpan w:val="3"/>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人员经费</w:t>
            </w:r>
          </w:p>
        </w:tc>
        <w:tc>
          <w:tcPr>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公用经费</w:t>
            </w:r>
          </w:p>
        </w:tc>
      </w:tr>
      <w:tr>
        <w:tblPrEx>
          <w:tblCellMar>
            <w:top w:w="0" w:type="dxa"/>
            <w:left w:w="10" w:type="dxa"/>
            <w:bottom w:w="0" w:type="dxa"/>
            <w:right w:w="10" w:type="dxa"/>
          </w:tblCellMar>
        </w:tblPrEx>
        <w:trPr>
          <w:trHeight w:val="1258" w:hRule="exact"/>
          <w:jc w:val="center"/>
        </w:trPr>
        <w:tc>
          <w:tcPr>
            <w:tcW w:w="931" w:type="dxa"/>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支出经 济分类 科目编 码</w:t>
            </w:r>
          </w:p>
        </w:tc>
        <w:tc>
          <w:tcPr>
            <w:tcW w:w="3254"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科目名称</w:t>
            </w:r>
          </w:p>
        </w:tc>
        <w:tc>
          <w:tcPr>
            <w:tcW w:w="830" w:type="dxa"/>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金额</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0" w:lineRule="exact"/>
              <w:ind w:left="200" w:right="0" w:firstLine="20"/>
              <w:jc w:val="both"/>
              <w:rPr>
                <w:sz w:val="22"/>
                <w:szCs w:val="22"/>
              </w:rPr>
            </w:pPr>
            <w:r>
              <w:rPr>
                <w:color w:val="000000"/>
                <w:spacing w:val="0"/>
                <w:w w:val="100"/>
                <w:position w:val="0"/>
                <w:sz w:val="22"/>
                <w:szCs w:val="22"/>
              </w:rPr>
              <w:t>经济 分类 科目 编码</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科目名称</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金额</w:t>
            </w:r>
          </w:p>
        </w:tc>
      </w:tr>
      <w:tr>
        <w:tblPrEx>
          <w:tblCellMar>
            <w:top w:w="0" w:type="dxa"/>
            <w:left w:w="10" w:type="dxa"/>
            <w:bottom w:w="0" w:type="dxa"/>
            <w:right w:w="10" w:type="dxa"/>
          </w:tblCellMar>
        </w:tblPrEx>
        <w:trPr>
          <w:trHeight w:val="638"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工资福利支出</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136.10 </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302</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商品和服务支 出</w:t>
            </w: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20.15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30101</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基本工资</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56.92 </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30201</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办公费</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6.35 </w:t>
            </w:r>
          </w:p>
        </w:tc>
      </w:tr>
      <w:tr>
        <w:tblPrEx>
          <w:tblCellMar>
            <w:top w:w="0" w:type="dxa"/>
            <w:left w:w="10" w:type="dxa"/>
            <w:bottom w:w="0" w:type="dxa"/>
            <w:right w:w="10" w:type="dxa"/>
          </w:tblCellMar>
        </w:tblPrEx>
        <w:trPr>
          <w:trHeight w:val="326"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30102</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津贴补贴</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3.78 </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30202</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印刷费</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0.84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30103</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奖金</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19.71 </w:t>
            </w: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30305</w:t>
            </w: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水费</w:t>
            </w:r>
          </w:p>
        </w:tc>
        <w:tc>
          <w:tcPr>
            <w:tcW w:w="0" w:type="auto"/>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0.23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30106</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伙食补助费</w:t>
            </w:r>
          </w:p>
        </w:tc>
        <w:tc>
          <w:tcPr>
            <w:tcW w:w="830" w:type="dxa"/>
            <w:tcBorders>
              <w:top w:val="single" w:color="auto" w:sz="4" w:space="0"/>
              <w:left w:val="single" w:color="auto" w:sz="4" w:space="0"/>
            </w:tcBorders>
            <w:shd w:val="clear" w:color="auto" w:fill="FFFFFF"/>
            <w:vAlign w:val="center"/>
          </w:tcPr>
          <w:p>
            <w:pPr>
              <w:rPr>
                <w:sz w:val="10"/>
                <w:szCs w:val="10"/>
              </w:rPr>
            </w:pP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30306</w:t>
            </w: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电费</w:t>
            </w:r>
          </w:p>
        </w:tc>
        <w:tc>
          <w:tcPr>
            <w:tcW w:w="0" w:type="auto"/>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30107</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绩效工资</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12.97 </w:t>
            </w:r>
          </w:p>
        </w:tc>
        <w:tc>
          <w:tcPr>
            <w:tcW w:w="0" w:type="auto"/>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30307</w:t>
            </w:r>
          </w:p>
        </w:tc>
        <w:tc>
          <w:tcPr>
            <w:tcW w:w="0" w:type="auto"/>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邮电费</w:t>
            </w:r>
          </w:p>
        </w:tc>
        <w:tc>
          <w:tcPr>
            <w:tcW w:w="0" w:type="auto"/>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1.74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30108</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15.37 </w:t>
            </w: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30308</w:t>
            </w: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取暖费</w:t>
            </w:r>
          </w:p>
        </w:tc>
        <w:tc>
          <w:tcPr>
            <w:tcW w:w="0" w:type="auto"/>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5"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30109</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职业年金缴费</w:t>
            </w:r>
          </w:p>
        </w:tc>
        <w:tc>
          <w:tcPr>
            <w:tcW w:w="830" w:type="dxa"/>
            <w:tcBorders>
              <w:top w:val="single" w:color="auto" w:sz="4" w:space="0"/>
              <w:left w:val="single" w:color="auto" w:sz="4" w:space="0"/>
            </w:tcBorders>
            <w:shd w:val="clear" w:color="auto" w:fill="FFFFFF"/>
            <w:vAlign w:val="center"/>
          </w:tcPr>
          <w:p>
            <w:pPr>
              <w:rPr>
                <w:sz w:val="10"/>
                <w:szCs w:val="10"/>
              </w:rPr>
            </w:pP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30309</w:t>
            </w:r>
          </w:p>
        </w:tc>
        <w:tc>
          <w:tcPr>
            <w:tcW w:w="0" w:type="auto"/>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200" w:firstLineChars="100"/>
              <w:jc w:val="left"/>
              <w:rPr>
                <w:sz w:val="20"/>
                <w:szCs w:val="20"/>
              </w:rPr>
            </w:pPr>
            <w:r>
              <w:rPr>
                <w:color w:val="000000"/>
                <w:spacing w:val="0"/>
                <w:w w:val="100"/>
                <w:position w:val="0"/>
                <w:sz w:val="20"/>
                <w:szCs w:val="20"/>
              </w:rPr>
              <w:t>物业管理费</w:t>
            </w:r>
          </w:p>
        </w:tc>
        <w:tc>
          <w:tcPr>
            <w:tcW w:w="0" w:type="auto"/>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i w:val="0"/>
                <w:color w:val="000000"/>
                <w:kern w:val="2"/>
                <w:sz w:val="20"/>
                <w:szCs w:val="20"/>
                <w:u w:val="none"/>
                <w:lang w:val="en-US" w:eastAsia="zh-CN" w:bidi="ar-SA"/>
              </w:rPr>
            </w:pP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30110</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6.62 </w:t>
            </w:r>
          </w:p>
        </w:tc>
        <w:tc>
          <w:tcPr>
            <w:tcW w:w="0" w:type="auto"/>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30211</w:t>
            </w:r>
          </w:p>
        </w:tc>
        <w:tc>
          <w:tcPr>
            <w:tcW w:w="0" w:type="auto"/>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1.73 </w:t>
            </w:r>
          </w:p>
        </w:tc>
      </w:tr>
      <w:tr>
        <w:tblPrEx>
          <w:tblCellMar>
            <w:top w:w="0" w:type="dxa"/>
            <w:left w:w="10" w:type="dxa"/>
            <w:bottom w:w="0" w:type="dxa"/>
            <w:right w:w="10" w:type="dxa"/>
          </w:tblCellMar>
        </w:tblPrEx>
        <w:trPr>
          <w:trHeight w:val="326"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30111</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9.70 </w:t>
            </w:r>
          </w:p>
        </w:tc>
        <w:tc>
          <w:tcPr>
            <w:tcW w:w="0" w:type="auto"/>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30215</w:t>
            </w:r>
          </w:p>
        </w:tc>
        <w:tc>
          <w:tcPr>
            <w:tcW w:w="0" w:type="auto"/>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0.28 </w:t>
            </w:r>
          </w:p>
        </w:tc>
      </w:tr>
      <w:tr>
        <w:tblPrEx>
          <w:tblCellMar>
            <w:top w:w="0" w:type="dxa"/>
            <w:left w:w="10" w:type="dxa"/>
            <w:bottom w:w="0" w:type="dxa"/>
            <w:right w:w="10" w:type="dxa"/>
          </w:tblCellMar>
        </w:tblPrEx>
        <w:trPr>
          <w:trHeight w:val="326"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30112</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0.43 </w:t>
            </w:r>
          </w:p>
        </w:tc>
        <w:tc>
          <w:tcPr>
            <w:tcW w:w="85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0"/>
                <w:szCs w:val="20"/>
                <w:u w:val="none"/>
                <w:lang w:val="en-US" w:eastAsia="zh-CN" w:bidi="ar"/>
              </w:rPr>
              <w:t>30216</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培训费</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6.43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30113</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10.59 </w:t>
            </w:r>
          </w:p>
        </w:tc>
        <w:tc>
          <w:tcPr>
            <w:tcW w:w="85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30217</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公务接待费</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0.31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30114</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医疗费</w:t>
            </w:r>
          </w:p>
        </w:tc>
        <w:tc>
          <w:tcPr>
            <w:tcW w:w="830" w:type="dxa"/>
            <w:tcBorders>
              <w:top w:val="single" w:color="auto" w:sz="4" w:space="0"/>
              <w:left w:val="single" w:color="auto" w:sz="4" w:space="0"/>
            </w:tcBorders>
            <w:shd w:val="clear" w:color="auto" w:fill="FFFFFF"/>
            <w:vAlign w:val="center"/>
          </w:tcPr>
          <w:p>
            <w:pPr>
              <w:rPr>
                <w:sz w:val="10"/>
                <w:szCs w:val="10"/>
              </w:rPr>
            </w:pPr>
          </w:p>
        </w:tc>
        <w:tc>
          <w:tcPr>
            <w:tcW w:w="85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30228</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工会经费</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2.01 </w:t>
            </w:r>
          </w:p>
        </w:tc>
      </w:tr>
      <w:tr>
        <w:tblPrEx>
          <w:tblCellMar>
            <w:top w:w="0" w:type="dxa"/>
            <w:left w:w="10" w:type="dxa"/>
            <w:bottom w:w="0" w:type="dxa"/>
            <w:right w:w="10" w:type="dxa"/>
          </w:tblCellMar>
        </w:tblPrEx>
        <w:trPr>
          <w:trHeight w:val="606"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30199</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30" w:type="dxa"/>
            <w:tcBorders>
              <w:top w:val="single" w:color="auto" w:sz="4" w:space="0"/>
              <w:left w:val="single" w:color="auto" w:sz="4" w:space="0"/>
            </w:tcBorders>
            <w:shd w:val="clear" w:color="auto" w:fill="FFFFFF"/>
            <w:vAlign w:val="center"/>
          </w:tcPr>
          <w:p>
            <w:pPr>
              <w:rPr>
                <w:sz w:val="10"/>
                <w:szCs w:val="10"/>
              </w:rPr>
            </w:pPr>
          </w:p>
        </w:tc>
        <w:tc>
          <w:tcPr>
            <w:tcW w:w="85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0"/>
                <w:szCs w:val="20"/>
                <w:u w:val="none"/>
                <w:lang w:val="en-US" w:eastAsia="zh-CN" w:bidi="ar"/>
              </w:rPr>
              <w:t>30299</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0.23 </w:t>
            </w:r>
          </w:p>
        </w:tc>
      </w:tr>
      <w:tr>
        <w:tblPrEx>
          <w:tblCellMar>
            <w:top w:w="0" w:type="dxa"/>
            <w:left w:w="10" w:type="dxa"/>
            <w:bottom w:w="0" w:type="dxa"/>
            <w:right w:w="10" w:type="dxa"/>
          </w:tblCellMar>
        </w:tblPrEx>
        <w:trPr>
          <w:trHeight w:val="35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303</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对个人和家庭的补助</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4.66 </w:t>
            </w:r>
          </w:p>
        </w:tc>
        <w:tc>
          <w:tcPr>
            <w:tcW w:w="85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310</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资本性支出</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2.43 </w:t>
            </w:r>
          </w:p>
        </w:tc>
      </w:tr>
      <w:tr>
        <w:tblPrEx>
          <w:tblCellMar>
            <w:top w:w="0" w:type="dxa"/>
            <w:left w:w="10" w:type="dxa"/>
            <w:bottom w:w="0" w:type="dxa"/>
            <w:right w:w="10" w:type="dxa"/>
          </w:tblCellMar>
        </w:tblPrEx>
        <w:trPr>
          <w:trHeight w:val="322"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30301</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离休费</w:t>
            </w:r>
          </w:p>
        </w:tc>
        <w:tc>
          <w:tcPr>
            <w:tcW w:w="830" w:type="dxa"/>
            <w:tcBorders>
              <w:top w:val="single" w:color="auto" w:sz="4" w:space="0"/>
              <w:left w:val="single" w:color="auto" w:sz="4" w:space="0"/>
            </w:tcBorders>
            <w:shd w:val="clear" w:color="auto" w:fill="FFFFFF"/>
            <w:vAlign w:val="center"/>
          </w:tcPr>
          <w:p>
            <w:pPr>
              <w:rPr>
                <w:sz w:val="10"/>
                <w:szCs w:val="10"/>
              </w:rPr>
            </w:pPr>
          </w:p>
        </w:tc>
        <w:tc>
          <w:tcPr>
            <w:tcW w:w="850"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31002</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办公设备购置</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1.73 </w:t>
            </w:r>
          </w:p>
        </w:tc>
      </w:tr>
      <w:tr>
        <w:tblPrEx>
          <w:tblCellMar>
            <w:top w:w="0" w:type="dxa"/>
            <w:left w:w="10" w:type="dxa"/>
            <w:bottom w:w="0" w:type="dxa"/>
            <w:right w:w="10" w:type="dxa"/>
          </w:tblCellMar>
        </w:tblPrEx>
        <w:trPr>
          <w:trHeight w:val="634" w:hRule="exact"/>
          <w:jc w:val="center"/>
        </w:trPr>
        <w:tc>
          <w:tcPr>
            <w:tcW w:w="931"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30302</w:t>
            </w:r>
          </w:p>
        </w:tc>
        <w:tc>
          <w:tcPr>
            <w:tcW w:w="3254"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退休费</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4.66 </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0"/>
                <w:szCs w:val="20"/>
                <w:u w:val="none"/>
                <w:lang w:val="en-US" w:eastAsia="zh-CN" w:bidi="ar"/>
              </w:rPr>
              <w:t>31099</w:t>
            </w:r>
          </w:p>
        </w:tc>
        <w:tc>
          <w:tcPr>
            <w:tcW w:w="1718"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627"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0"/>
                <w:szCs w:val="10"/>
              </w:rPr>
            </w:pPr>
            <w:r>
              <w:rPr>
                <w:rFonts w:hint="eastAsia" w:ascii="宋体" w:hAnsi="宋体" w:eastAsia="宋体" w:cs="宋体"/>
                <w:i w:val="0"/>
                <w:color w:val="000000"/>
                <w:kern w:val="0"/>
                <w:sz w:val="20"/>
                <w:szCs w:val="20"/>
                <w:u w:val="none"/>
                <w:lang w:val="en-US" w:eastAsia="zh-CN" w:bidi="ar"/>
              </w:rPr>
              <w:t xml:space="preserve">0.70 </w:t>
            </w:r>
          </w:p>
        </w:tc>
      </w:tr>
      <w:tr>
        <w:tblPrEx>
          <w:tblCellMar>
            <w:top w:w="0" w:type="dxa"/>
            <w:left w:w="10" w:type="dxa"/>
            <w:bottom w:w="0" w:type="dxa"/>
            <w:right w:w="10" w:type="dxa"/>
          </w:tblCellMar>
        </w:tblPrEx>
        <w:trPr>
          <w:trHeight w:val="646" w:hRule="exact"/>
          <w:jc w:val="center"/>
        </w:trPr>
        <w:tc>
          <w:tcPr>
            <w:tcW w:w="4185" w:type="dxa"/>
            <w:gridSpan w:val="2"/>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人员经费合计</w:t>
            </w:r>
          </w:p>
        </w:tc>
        <w:tc>
          <w:tcPr>
            <w:tcW w:w="83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140.75 </w:t>
            </w:r>
          </w:p>
        </w:tc>
        <w:tc>
          <w:tcPr>
            <w:gridSpan w:val="2"/>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公用经费合计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22.58 </w:t>
            </w:r>
          </w:p>
        </w:tc>
      </w:tr>
    </w:tbl>
    <w:p>
      <w:pPr>
        <w:pStyle w:val="13"/>
        <w:keepNext w:val="0"/>
        <w:keepLines w:val="0"/>
        <w:widowControl w:val="0"/>
        <w:shd w:val="clear" w:color="auto" w:fill="auto"/>
        <w:bidi w:val="0"/>
        <w:spacing w:before="0" w:after="0" w:line="240" w:lineRule="auto"/>
        <w:ind w:left="0" w:right="0" w:firstLine="0"/>
        <w:jc w:val="left"/>
        <w:rPr>
          <w:color w:val="000000"/>
          <w:spacing w:val="0"/>
          <w:w w:val="100"/>
          <w:position w:val="0"/>
          <w:sz w:val="22"/>
          <w:szCs w:val="22"/>
        </w:rPr>
      </w:pPr>
    </w:p>
    <w:p>
      <w:pPr>
        <w:pStyle w:val="13"/>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2"/>
          <w:szCs w:val="22"/>
          <w:lang w:eastAsia="zh-CN"/>
        </w:rPr>
        <w:sectPr>
          <w:footerReference r:id="rId5" w:type="default"/>
          <w:footnotePr>
            <w:numFmt w:val="decimal"/>
          </w:footnotePr>
          <w:pgSz w:w="11900" w:h="16840"/>
          <w:pgMar w:top="1582" w:right="973" w:bottom="1582" w:left="1716" w:header="1154" w:footer="3" w:gutter="0"/>
          <w:cols w:space="720" w:num="1"/>
          <w:rtlGutter w:val="0"/>
          <w:docGrid w:linePitch="360" w:charSpace="0"/>
        </w:sectPr>
      </w:pPr>
      <w:r>
        <w:rPr>
          <w:color w:val="000000"/>
          <w:spacing w:val="0"/>
          <w:w w:val="100"/>
          <w:position w:val="0"/>
          <w:sz w:val="22"/>
          <w:szCs w:val="22"/>
        </w:rPr>
        <w:t>注：本表反映部门本年度一般公共预算财政拨款基本支出明细情况</w:t>
      </w:r>
      <w:r>
        <w:rPr>
          <w:rFonts w:hint="eastAsia"/>
          <w:color w:val="000000"/>
          <w:spacing w:val="0"/>
          <w:w w:val="100"/>
          <w:position w:val="0"/>
          <w:sz w:val="22"/>
          <w:szCs w:val="22"/>
          <w:lang w:eastAsia="zh-CN"/>
        </w:rPr>
        <w:t>。</w:t>
      </w:r>
    </w:p>
    <w:p>
      <w:pPr>
        <w:pStyle w:val="12"/>
        <w:keepNext/>
        <w:keepLines/>
        <w:widowControl w:val="0"/>
        <w:shd w:val="clear" w:color="auto" w:fill="auto"/>
        <w:bidi w:val="0"/>
        <w:spacing w:before="0" w:after="460" w:line="240" w:lineRule="auto"/>
        <w:ind w:left="0" w:right="0" w:firstLine="0"/>
        <w:jc w:val="center"/>
        <w:rPr>
          <w:sz w:val="38"/>
          <w:szCs w:val="38"/>
        </w:rPr>
      </w:pPr>
      <w:r>
        <w:rPr>
          <w:b w:val="0"/>
          <w:bCs w:val="0"/>
          <w:color w:val="000000"/>
          <w:spacing w:val="0"/>
          <w:w w:val="100"/>
          <w:position w:val="0"/>
          <w:sz w:val="38"/>
          <w:szCs w:val="38"/>
        </w:rPr>
        <w:t>表七：一般公共预算财政拨款安排的</w:t>
      </w:r>
      <w:r>
        <w:rPr>
          <w:b w:val="0"/>
          <w:bCs w:val="0"/>
          <w:color w:val="000000"/>
          <w:spacing w:val="0"/>
          <w:w w:val="100"/>
          <w:position w:val="0"/>
          <w:sz w:val="38"/>
          <w:szCs w:val="38"/>
          <w:lang w:val="zh-CN" w:eastAsia="zh-CN" w:bidi="zh-CN"/>
        </w:rPr>
        <w:t>“三</w:t>
      </w:r>
      <w:r>
        <w:rPr>
          <w:b w:val="0"/>
          <w:bCs w:val="0"/>
          <w:color w:val="000000"/>
          <w:spacing w:val="0"/>
          <w:w w:val="100"/>
          <w:position w:val="0"/>
          <w:sz w:val="38"/>
          <w:szCs w:val="38"/>
        </w:rPr>
        <w:t>公”经费支出决算表</w:t>
      </w:r>
    </w:p>
    <w:p>
      <w:pPr>
        <w:pStyle w:val="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单位：万元</w:t>
      </w:r>
    </w:p>
    <w:tbl>
      <w:tblPr>
        <w:tblStyle w:val="5"/>
        <w:tblW w:w="0" w:type="auto"/>
        <w:jc w:val="center"/>
        <w:tblLayout w:type="fixed"/>
        <w:tblCellMar>
          <w:top w:w="0" w:type="dxa"/>
          <w:left w:w="10" w:type="dxa"/>
          <w:bottom w:w="0" w:type="dxa"/>
          <w:right w:w="10" w:type="dxa"/>
        </w:tblCellMar>
      </w:tblPr>
      <w:tblGrid>
        <w:gridCol w:w="835"/>
        <w:gridCol w:w="1603"/>
        <w:gridCol w:w="830"/>
        <w:gridCol w:w="1253"/>
        <w:gridCol w:w="1234"/>
        <w:gridCol w:w="1224"/>
        <w:gridCol w:w="806"/>
        <w:gridCol w:w="1565"/>
        <w:gridCol w:w="806"/>
        <w:gridCol w:w="1397"/>
        <w:gridCol w:w="1210"/>
        <w:gridCol w:w="1195"/>
      </w:tblGrid>
      <w:tr>
        <w:tblPrEx>
          <w:tblCellMar>
            <w:top w:w="0" w:type="dxa"/>
            <w:left w:w="10" w:type="dxa"/>
            <w:bottom w:w="0" w:type="dxa"/>
            <w:right w:w="10" w:type="dxa"/>
          </w:tblCellMar>
        </w:tblPrEx>
        <w:trPr>
          <w:trHeight w:val="581" w:hRule="exact"/>
          <w:jc w:val="center"/>
        </w:trPr>
        <w:tc>
          <w:tcPr>
            <w:gridSpan w:val="6"/>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2019</w:t>
            </w:r>
            <w:r>
              <w:rPr>
                <w:color w:val="000000"/>
                <w:spacing w:val="0"/>
                <w:w w:val="100"/>
                <w:position w:val="0"/>
                <w:sz w:val="22"/>
                <w:szCs w:val="22"/>
              </w:rPr>
              <w:t>年度预算数</w:t>
            </w:r>
          </w:p>
        </w:tc>
        <w:tc>
          <w:tcPr>
            <w:gridSpan w:val="6"/>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2019</w:t>
            </w:r>
            <w:r>
              <w:rPr>
                <w:color w:val="000000"/>
                <w:spacing w:val="0"/>
                <w:w w:val="100"/>
                <w:position w:val="0"/>
                <w:sz w:val="22"/>
                <w:szCs w:val="22"/>
              </w:rPr>
              <w:t>年度决算数</w:t>
            </w:r>
          </w:p>
        </w:tc>
      </w:tr>
      <w:tr>
        <w:tblPrEx>
          <w:tblCellMar>
            <w:top w:w="0" w:type="dxa"/>
            <w:left w:w="10" w:type="dxa"/>
            <w:bottom w:w="0" w:type="dxa"/>
            <w:right w:w="10" w:type="dxa"/>
          </w:tblCellMar>
        </w:tblPrEx>
        <w:trPr>
          <w:trHeight w:val="408" w:hRule="exact"/>
          <w:jc w:val="center"/>
        </w:trPr>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因公出国（境） 费</w:t>
            </w:r>
          </w:p>
        </w:tc>
        <w:tc>
          <w:tcPr>
            <w:gridSpan w:val="3"/>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公务用车购置及运行费</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公务接待 费</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因公出国（境） 费</w:t>
            </w:r>
          </w:p>
        </w:tc>
        <w:tc>
          <w:tcPr>
            <w:gridSpan w:val="3"/>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公务用车购置及运行费</w:t>
            </w:r>
          </w:p>
        </w:tc>
        <w:tc>
          <w:tcPr>
            <w:vMerge w:val="restart"/>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公务接待 费</w:t>
            </w: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小计</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公务用车 购置费</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公务用车运行费</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小计</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公务用车 购置费</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公务用车 运行费</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10"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c>
          <w:tcPr>
            <w:tcBorders>
              <w:top w:val="single" w:color="auto" w:sz="4" w:space="0"/>
              <w:left w:val="single" w:color="auto" w:sz="4" w:space="0"/>
              <w:righ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w:t>
            </w:r>
          </w:p>
        </w:tc>
      </w:tr>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0.8</w:t>
            </w: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0.48</w:t>
            </w: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0.32</w:t>
            </w: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0.31</w:t>
            </w: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Theme="minorEastAsia" w:hAnsiTheme="minorEastAsia" w:eastAsiaTheme="minorEastAsia" w:cstheme="minorEastAsia"/>
                <w:sz w:val="22"/>
                <w:szCs w:val="22"/>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0.31</w:t>
            </w:r>
          </w:p>
        </w:tc>
      </w:tr>
    </w:tbl>
    <w:p>
      <w:pPr>
        <w:pStyle w:val="13"/>
        <w:keepNext w:val="0"/>
        <w:keepLines w:val="0"/>
        <w:widowControl w:val="0"/>
        <w:shd w:val="clear" w:color="auto" w:fill="auto"/>
        <w:bidi w:val="0"/>
        <w:spacing w:before="0" w:after="0" w:line="317" w:lineRule="exact"/>
        <w:ind w:left="0" w:right="0" w:firstLine="0"/>
        <w:jc w:val="left"/>
        <w:rPr>
          <w:color w:val="000000"/>
          <w:spacing w:val="0"/>
          <w:w w:val="100"/>
          <w:position w:val="0"/>
          <w:sz w:val="22"/>
          <w:szCs w:val="22"/>
        </w:rPr>
      </w:pPr>
    </w:p>
    <w:p>
      <w:pPr>
        <w:pStyle w:val="13"/>
        <w:keepNext w:val="0"/>
        <w:keepLines w:val="0"/>
        <w:widowControl w:val="0"/>
        <w:shd w:val="clear" w:color="auto" w:fill="auto"/>
        <w:bidi w:val="0"/>
        <w:spacing w:before="0" w:after="0" w:line="317" w:lineRule="exact"/>
        <w:ind w:left="0" w:right="0" w:firstLine="0"/>
        <w:jc w:val="left"/>
        <w:rPr>
          <w:color w:val="000000"/>
          <w:spacing w:val="0"/>
          <w:w w:val="100"/>
          <w:position w:val="0"/>
          <w:sz w:val="22"/>
          <w:szCs w:val="22"/>
        </w:rPr>
      </w:pPr>
      <w:r>
        <w:rPr>
          <w:color w:val="000000"/>
          <w:spacing w:val="0"/>
          <w:w w:val="100"/>
          <w:position w:val="0"/>
          <w:sz w:val="22"/>
          <w:szCs w:val="22"/>
        </w:rPr>
        <w:t>注：本表反映部门本年度</w:t>
      </w:r>
      <w:r>
        <w:rPr>
          <w:color w:val="000000"/>
          <w:spacing w:val="0"/>
          <w:w w:val="100"/>
          <w:position w:val="0"/>
          <w:sz w:val="22"/>
          <w:szCs w:val="22"/>
          <w:lang w:val="zh-CN" w:eastAsia="zh-CN" w:bidi="zh-CN"/>
        </w:rPr>
        <w:t>“三</w:t>
      </w:r>
      <w:r>
        <w:rPr>
          <w:color w:val="000000"/>
          <w:spacing w:val="0"/>
          <w:w w:val="100"/>
          <w:position w:val="0"/>
          <w:sz w:val="22"/>
          <w:szCs w:val="22"/>
        </w:rPr>
        <w:t>公”经费支出预决算情况。其中，</w:t>
      </w:r>
      <w:r>
        <w:rPr>
          <w:color w:val="000000"/>
          <w:spacing w:val="0"/>
          <w:w w:val="100"/>
          <w:position w:val="0"/>
          <w:sz w:val="20"/>
          <w:szCs w:val="20"/>
        </w:rPr>
        <w:t>2019</w:t>
      </w:r>
      <w:r>
        <w:rPr>
          <w:color w:val="000000"/>
          <w:spacing w:val="0"/>
          <w:w w:val="100"/>
          <w:position w:val="0"/>
          <w:sz w:val="22"/>
          <w:szCs w:val="22"/>
        </w:rPr>
        <w:t>年度预算数为</w:t>
      </w:r>
      <w:r>
        <w:rPr>
          <w:color w:val="000000"/>
          <w:spacing w:val="0"/>
          <w:w w:val="100"/>
          <w:position w:val="0"/>
          <w:sz w:val="22"/>
          <w:szCs w:val="22"/>
          <w:lang w:val="zh-CN" w:eastAsia="zh-CN" w:bidi="zh-CN"/>
        </w:rPr>
        <w:t>“三</w:t>
      </w:r>
      <w:r>
        <w:rPr>
          <w:color w:val="000000"/>
          <w:spacing w:val="0"/>
          <w:w w:val="100"/>
          <w:position w:val="0"/>
          <w:sz w:val="22"/>
          <w:szCs w:val="22"/>
        </w:rPr>
        <w:t>公”经费年初预算数，决算数是包括当年一般公共预算财政拨款 和以前年度结转资金安排的实际支出。</w:t>
      </w:r>
    </w:p>
    <w:p>
      <w:pPr>
        <w:rPr>
          <w:rFonts w:hint="eastAsia"/>
          <w:color w:val="000000"/>
          <w:spacing w:val="0"/>
          <w:w w:val="100"/>
          <w:position w:val="0"/>
          <w:sz w:val="22"/>
          <w:szCs w:val="22"/>
          <w:lang w:eastAsia="zh-CN"/>
        </w:rPr>
        <w:sectPr>
          <w:footerReference r:id="rId6" w:type="default"/>
          <w:footnotePr>
            <w:numFmt w:val="decimal"/>
          </w:footnotePr>
          <w:pgSz w:w="16840" w:h="11900" w:orient="landscape"/>
          <w:pgMar w:top="1716" w:right="1582" w:bottom="973" w:left="1582" w:header="1154" w:footer="3" w:gutter="0"/>
          <w:cols w:space="720" w:num="1"/>
          <w:rtlGutter w:val="0"/>
          <w:docGrid w:linePitch="360" w:charSpace="0"/>
        </w:sectPr>
      </w:pPr>
      <w:r>
        <w:rPr>
          <w:color w:val="000000"/>
          <w:spacing w:val="0"/>
          <w:w w:val="100"/>
          <w:position w:val="0"/>
          <w:sz w:val="22"/>
          <w:szCs w:val="22"/>
        </w:rPr>
        <w:br w:type="page"/>
      </w:r>
    </w:p>
    <w:p>
      <w:pPr>
        <w:pStyle w:val="12"/>
        <w:keepNext/>
        <w:keepLines/>
        <w:widowControl w:val="0"/>
        <w:shd w:val="clear" w:color="auto" w:fill="auto"/>
        <w:bidi w:val="0"/>
        <w:spacing w:before="0" w:after="160" w:line="240" w:lineRule="auto"/>
        <w:ind w:left="0" w:right="0" w:firstLine="0"/>
        <w:jc w:val="center"/>
        <w:rPr>
          <w:sz w:val="38"/>
          <w:szCs w:val="38"/>
        </w:rPr>
      </w:pPr>
      <w:r>
        <w:rPr>
          <w:b w:val="0"/>
          <w:bCs w:val="0"/>
          <w:color w:val="000000"/>
          <w:spacing w:val="0"/>
          <w:w w:val="100"/>
          <w:position w:val="0"/>
          <w:sz w:val="38"/>
          <w:szCs w:val="38"/>
        </w:rPr>
        <w:t>表八：政府性基金预算财政拨款收入支出决算表</w:t>
      </w:r>
    </w:p>
    <w:p>
      <w:pPr>
        <w:pStyle w:val="13"/>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单位：万元</w:t>
      </w:r>
    </w:p>
    <w:tbl>
      <w:tblPr>
        <w:tblStyle w:val="5"/>
        <w:tblW w:w="0" w:type="auto"/>
        <w:jc w:val="center"/>
        <w:tblLayout w:type="fixed"/>
        <w:tblCellMar>
          <w:top w:w="0" w:type="dxa"/>
          <w:left w:w="10" w:type="dxa"/>
          <w:bottom w:w="0" w:type="dxa"/>
          <w:right w:w="10" w:type="dxa"/>
        </w:tblCellMar>
      </w:tblPr>
      <w:tblGrid>
        <w:gridCol w:w="1051"/>
        <w:gridCol w:w="1382"/>
        <w:gridCol w:w="773"/>
        <w:gridCol w:w="1037"/>
        <w:gridCol w:w="1042"/>
        <w:gridCol w:w="1046"/>
        <w:gridCol w:w="1042"/>
        <w:gridCol w:w="1042"/>
        <w:gridCol w:w="1042"/>
        <w:gridCol w:w="1037"/>
        <w:gridCol w:w="1018"/>
        <w:gridCol w:w="1003"/>
      </w:tblGrid>
      <w:tr>
        <w:tblPrEx>
          <w:tblCellMar>
            <w:top w:w="0" w:type="dxa"/>
            <w:left w:w="10" w:type="dxa"/>
            <w:bottom w:w="0" w:type="dxa"/>
            <w:right w:w="10" w:type="dxa"/>
          </w:tblCellMar>
        </w:tblPrEx>
        <w:trPr>
          <w:trHeight w:val="442" w:hRule="exact"/>
          <w:jc w:val="center"/>
        </w:trPr>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09" w:lineRule="exact"/>
              <w:ind w:left="0" w:right="0" w:firstLine="0"/>
              <w:jc w:val="center"/>
              <w:rPr>
                <w:sz w:val="22"/>
                <w:szCs w:val="22"/>
              </w:rPr>
            </w:pPr>
            <w:r>
              <w:rPr>
                <w:color w:val="000000"/>
                <w:spacing w:val="0"/>
                <w:w w:val="100"/>
                <w:position w:val="0"/>
                <w:sz w:val="22"/>
                <w:szCs w:val="22"/>
              </w:rPr>
              <w:t>支出功 能分类 科目编 码</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科目名称</w:t>
            </w:r>
          </w:p>
        </w:tc>
        <w:tc>
          <w:tcPr>
            <w:gridSpan w:val="3"/>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年初结转和结余</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60" w:line="240" w:lineRule="auto"/>
              <w:ind w:left="0" w:right="0" w:firstLine="0"/>
              <w:jc w:val="center"/>
              <w:rPr>
                <w:sz w:val="22"/>
                <w:szCs w:val="22"/>
              </w:rPr>
            </w:pPr>
            <w:r>
              <w:rPr>
                <w:color w:val="000000"/>
                <w:spacing w:val="0"/>
                <w:w w:val="100"/>
                <w:position w:val="0"/>
                <w:sz w:val="22"/>
                <w:szCs w:val="22"/>
              </w:rPr>
              <w:t>本年收</w:t>
            </w:r>
          </w:p>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入</w:t>
            </w:r>
          </w:p>
        </w:tc>
        <w:tc>
          <w:tcPr>
            <w:gridSpan w:val="3"/>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本年支出</w:t>
            </w:r>
          </w:p>
        </w:tc>
        <w:tc>
          <w:tcPr>
            <w:gridSpan w:val="3"/>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年末结转和结余</w:t>
            </w:r>
          </w:p>
        </w:tc>
      </w:tr>
      <w:tr>
        <w:tblPrEx>
          <w:tblCellMar>
            <w:top w:w="0" w:type="dxa"/>
            <w:left w:w="10" w:type="dxa"/>
            <w:bottom w:w="0" w:type="dxa"/>
            <w:right w:w="10" w:type="dxa"/>
          </w:tblCellMar>
        </w:tblPrEx>
        <w:trPr>
          <w:trHeight w:val="94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基本支 出结转</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项目支 出结转 和结余</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基本支 出</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项目支 出</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合计</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基本支 出结转</w:t>
            </w:r>
          </w:p>
        </w:tc>
        <w:tc>
          <w:tcPr>
            <w:tcBorders>
              <w:top w:val="single" w:color="auto" w:sz="4" w:space="0"/>
              <w:left w:val="single" w:color="auto" w:sz="4" w:space="0"/>
              <w:right w:val="single" w:color="auto" w:sz="4" w:space="0"/>
            </w:tcBorders>
            <w:shd w:val="clear" w:color="auto" w:fill="FFFFFF"/>
            <w:vAlign w:val="bottom"/>
          </w:tcPr>
          <w:p>
            <w:pPr>
              <w:pStyle w:val="14"/>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项目支 出结转 和结余</w:t>
            </w:r>
          </w:p>
        </w:tc>
      </w:tr>
      <w:tr>
        <w:tblPrEx>
          <w:tblCellMar>
            <w:top w:w="0" w:type="dxa"/>
            <w:left w:w="10" w:type="dxa"/>
            <w:bottom w:w="0" w:type="dxa"/>
            <w:right w:w="10" w:type="dxa"/>
          </w:tblCellMar>
        </w:tblPrEx>
        <w:trPr>
          <w:trHeight w:val="322" w:hRule="exact"/>
          <w:jc w:val="center"/>
        </w:trPr>
        <w:tc>
          <w:tcPr>
            <w:gridSpan w:val="2"/>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980"/>
              <w:jc w:val="left"/>
              <w:rPr>
                <w:sz w:val="22"/>
                <w:szCs w:val="22"/>
              </w:rPr>
            </w:pPr>
            <w:r>
              <w:rPr>
                <w:color w:val="000000"/>
                <w:spacing w:val="0"/>
                <w:w w:val="100"/>
                <w:position w:val="0"/>
                <w:sz w:val="22"/>
                <w:szCs w:val="22"/>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类</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款</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auto"/>
              <w:ind w:left="0" w:right="0" w:firstLine="700"/>
              <w:jc w:val="both"/>
              <w:rPr>
                <w:sz w:val="22"/>
                <w:szCs w:val="22"/>
              </w:rPr>
            </w:pPr>
            <w:r>
              <w:rPr>
                <w:color w:val="000000"/>
                <w:spacing w:val="0"/>
                <w:w w:val="100"/>
                <w:position w:val="0"/>
                <w:sz w:val="22"/>
                <w:szCs w:val="22"/>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3"/>
        <w:keepNext w:val="0"/>
        <w:keepLines w:val="0"/>
        <w:widowControl w:val="0"/>
        <w:shd w:val="clear" w:color="auto" w:fill="auto"/>
        <w:bidi w:val="0"/>
        <w:spacing w:before="0" w:after="0" w:line="240" w:lineRule="auto"/>
        <w:ind w:left="0" w:right="0" w:firstLine="0"/>
        <w:jc w:val="left"/>
        <w:rPr>
          <w:color w:val="000000"/>
          <w:spacing w:val="0"/>
          <w:w w:val="100"/>
          <w:position w:val="0"/>
          <w:sz w:val="22"/>
          <w:szCs w:val="22"/>
        </w:rPr>
      </w:pPr>
    </w:p>
    <w:p>
      <w:pPr>
        <w:pStyle w:val="13"/>
        <w:keepNext w:val="0"/>
        <w:keepLines w:val="0"/>
        <w:widowControl w:val="0"/>
        <w:shd w:val="clear" w:color="auto" w:fill="auto"/>
        <w:bidi w:val="0"/>
        <w:spacing w:before="0" w:after="0" w:line="240" w:lineRule="auto"/>
        <w:ind w:left="0" w:right="0" w:firstLine="660" w:firstLineChars="300"/>
        <w:jc w:val="left"/>
        <w:rPr>
          <w:color w:val="000000"/>
          <w:spacing w:val="0"/>
          <w:w w:val="100"/>
          <w:position w:val="0"/>
          <w:sz w:val="22"/>
          <w:szCs w:val="22"/>
        </w:rPr>
        <w:sectPr>
          <w:footerReference r:id="rId7" w:type="default"/>
          <w:footnotePr>
            <w:numFmt w:val="decimal"/>
          </w:footnotePr>
          <w:pgSz w:w="16840" w:h="11900" w:orient="landscape"/>
          <w:pgMar w:top="1716" w:right="1582" w:bottom="973" w:left="1582" w:header="1154" w:footer="3" w:gutter="0"/>
          <w:cols w:space="720" w:num="1"/>
          <w:rtlGutter w:val="0"/>
          <w:docGrid w:linePitch="360" w:charSpace="0"/>
        </w:sectPr>
      </w:pPr>
      <w:r>
        <w:rPr>
          <w:color w:val="000000"/>
          <w:spacing w:val="0"/>
          <w:w w:val="100"/>
          <w:position w:val="0"/>
          <w:sz w:val="22"/>
          <w:szCs w:val="22"/>
        </w:rPr>
        <w:t>注：本表反映部门本年度政府性基金预算财政拨款收入支出及结转和结余情况</w:t>
      </w:r>
      <w:r>
        <w:rPr>
          <w:rFonts w:hint="eastAsia"/>
          <w:color w:val="000000"/>
          <w:spacing w:val="0"/>
          <w:w w:val="100"/>
          <w:position w:val="0"/>
          <w:sz w:val="22"/>
          <w:szCs w:val="22"/>
          <w:lang w:eastAsia="zh-CN"/>
        </w:rPr>
        <w:t>。</w:t>
      </w:r>
    </w:p>
    <w:p>
      <w:pPr>
        <w:spacing w:line="560" w:lineRule="exact"/>
        <w:rPr>
          <w:rFonts w:ascii="仿宋_GB2312" w:eastAsia="仿宋_GB2312"/>
          <w:b/>
          <w:sz w:val="32"/>
          <w:szCs w:val="32"/>
        </w:rPr>
      </w:pPr>
      <w:r>
        <w:rPr>
          <w:rFonts w:hint="eastAsia" w:ascii="仿宋_GB2312" w:eastAsia="仿宋_GB2312"/>
          <w:b/>
          <w:sz w:val="32"/>
          <w:szCs w:val="32"/>
        </w:rPr>
        <w:t>第三部分：中国民主建国会柳州市委员会201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年度收入总计</w:t>
      </w:r>
      <w:r>
        <w:rPr>
          <w:rFonts w:hint="eastAsia" w:ascii="仿宋_GB2312" w:eastAsia="仿宋_GB2312"/>
          <w:sz w:val="32"/>
          <w:szCs w:val="32"/>
        </w:rPr>
        <w:t>199.71</w:t>
      </w:r>
      <w:r>
        <w:rPr>
          <w:rFonts w:hint="eastAsia" w:ascii="仿宋_GB2312" w:eastAsia="仿宋_GB2312" w:cs="仿宋_GB2312"/>
          <w:bCs/>
          <w:kern w:val="0"/>
          <w:sz w:val="32"/>
          <w:szCs w:val="32"/>
        </w:rPr>
        <w:t>万元，支出总计</w:t>
      </w:r>
      <w:r>
        <w:rPr>
          <w:rFonts w:hint="eastAsia" w:ascii="仿宋_GB2312" w:eastAsia="仿宋_GB2312"/>
          <w:sz w:val="32"/>
          <w:szCs w:val="32"/>
        </w:rPr>
        <w:t>199.71</w:t>
      </w:r>
      <w:r>
        <w:rPr>
          <w:rFonts w:hint="eastAsia" w:ascii="仿宋_GB2312" w:eastAsia="仿宋_GB2312" w:cs="仿宋_GB2312"/>
          <w:bCs/>
          <w:kern w:val="0"/>
          <w:sz w:val="32"/>
          <w:szCs w:val="32"/>
        </w:rPr>
        <w:t>万元，与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年相比，收、支分别增加</w:t>
      </w:r>
      <w:r>
        <w:rPr>
          <w:rFonts w:hint="eastAsia" w:ascii="仿宋_GB2312" w:eastAsia="仿宋_GB2312" w:cs="仿宋_GB2312"/>
          <w:bCs/>
          <w:kern w:val="0"/>
          <w:sz w:val="32"/>
          <w:szCs w:val="32"/>
          <w:lang w:val="en-US" w:eastAsia="zh-CN"/>
        </w:rPr>
        <w:t>20.39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20.39</w:t>
      </w:r>
      <w:r>
        <w:rPr>
          <w:rFonts w:hint="eastAsia" w:ascii="仿宋_GB2312" w:eastAsia="仿宋_GB2312" w:cs="仿宋_GB2312"/>
          <w:bCs/>
          <w:kern w:val="0"/>
          <w:sz w:val="32"/>
          <w:szCs w:val="32"/>
        </w:rPr>
        <w:t>万元；分别增长</w:t>
      </w:r>
      <w:r>
        <w:rPr>
          <w:rFonts w:hint="eastAsia" w:ascii="仿宋_GB2312" w:eastAsia="仿宋_GB2312" w:cs="仿宋_GB2312"/>
          <w:bCs/>
          <w:kern w:val="0"/>
          <w:sz w:val="32"/>
          <w:szCs w:val="32"/>
          <w:lang w:val="en-US" w:eastAsia="zh-CN"/>
        </w:rPr>
        <w:t>10.21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10.21</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本年收入总计</w:t>
      </w:r>
      <w:r>
        <w:rPr>
          <w:rFonts w:hint="eastAsia" w:ascii="仿宋_GB2312" w:eastAsia="仿宋_GB2312"/>
          <w:sz w:val="32"/>
          <w:szCs w:val="32"/>
        </w:rPr>
        <w:t>199.71</w:t>
      </w:r>
      <w:r>
        <w:rPr>
          <w:rFonts w:hint="eastAsia" w:ascii="仿宋_GB2312" w:eastAsia="仿宋_GB2312" w:cs="仿宋_GB2312"/>
          <w:bCs/>
          <w:kern w:val="0"/>
          <w:sz w:val="32"/>
          <w:szCs w:val="32"/>
        </w:rPr>
        <w:t>万元 ，其中：一般公共预算财政拨款收入</w:t>
      </w:r>
      <w:r>
        <w:rPr>
          <w:rFonts w:hint="eastAsia" w:ascii="仿宋_GB2312" w:eastAsia="仿宋_GB2312"/>
          <w:sz w:val="32"/>
          <w:szCs w:val="32"/>
        </w:rPr>
        <w:t>199.71</w:t>
      </w:r>
      <w:r>
        <w:rPr>
          <w:rFonts w:hint="eastAsia" w:ascii="仿宋_GB2312" w:eastAsia="仿宋_GB2312" w:cs="仿宋_GB2312"/>
          <w:bCs/>
          <w:kern w:val="0"/>
          <w:sz w:val="32"/>
          <w:szCs w:val="32"/>
        </w:rPr>
        <w:t>万元，占比100% </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3" w:firstLineChars="200"/>
        <w:jc w:val="left"/>
        <w:rPr>
          <w:rFonts w:eastAsia="仿宋_GB2312"/>
          <w:b/>
          <w:kern w:val="0"/>
          <w:sz w:val="32"/>
          <w:szCs w:val="32"/>
        </w:rPr>
      </w:pPr>
      <w:r>
        <w:rPr>
          <w:rFonts w:hint="eastAsia" w:eastAsia="仿宋_GB2312"/>
          <w:b/>
          <w:kern w:val="0"/>
          <w:sz w:val="32"/>
          <w:szCs w:val="32"/>
        </w:rPr>
        <w:t>三、201</w:t>
      </w:r>
      <w:r>
        <w:rPr>
          <w:rFonts w:hint="eastAsia" w:eastAsia="仿宋_GB2312"/>
          <w:b/>
          <w:kern w:val="0"/>
          <w:sz w:val="32"/>
          <w:szCs w:val="32"/>
          <w:lang w:val="en-US" w:eastAsia="zh-CN"/>
        </w:rPr>
        <w:t>9</w:t>
      </w:r>
      <w:r>
        <w:rPr>
          <w:rFonts w:hint="eastAsia" w:eastAsia="仿宋_GB2312"/>
          <w:b/>
          <w:kern w:val="0"/>
          <w:sz w:val="32"/>
          <w:szCs w:val="32"/>
        </w:rPr>
        <w:t>年度支出决算情况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highlight w:val="none"/>
        </w:rPr>
        <w:t>本年支出合计</w:t>
      </w:r>
      <w:r>
        <w:rPr>
          <w:rFonts w:hint="eastAsia" w:ascii="仿宋_GB2312" w:eastAsia="仿宋_GB2312"/>
          <w:sz w:val="32"/>
          <w:szCs w:val="32"/>
          <w:highlight w:val="none"/>
        </w:rPr>
        <w:t>199.71</w:t>
      </w:r>
      <w:r>
        <w:rPr>
          <w:rFonts w:hint="eastAsia" w:ascii="仿宋_GB2312" w:eastAsia="仿宋_GB2312" w:cs="仿宋_GB2312"/>
          <w:bCs/>
          <w:kern w:val="0"/>
          <w:sz w:val="32"/>
          <w:szCs w:val="32"/>
          <w:highlight w:val="none"/>
        </w:rPr>
        <w:t>万元，其中：基本支出163.33万元，占8</w:t>
      </w:r>
      <w:r>
        <w:rPr>
          <w:rFonts w:hint="eastAsia" w:ascii="仿宋_GB2312" w:eastAsia="仿宋_GB2312" w:cs="仿宋_GB2312"/>
          <w:bCs/>
          <w:kern w:val="0"/>
          <w:sz w:val="32"/>
          <w:szCs w:val="32"/>
          <w:highlight w:val="none"/>
          <w:lang w:val="en-US" w:eastAsia="zh-CN"/>
        </w:rPr>
        <w:t>1.78</w:t>
      </w:r>
      <w:r>
        <w:rPr>
          <w:rFonts w:hint="eastAsia" w:ascii="仿宋_GB2312" w:eastAsia="仿宋_GB2312" w:cs="仿宋_GB2312"/>
          <w:bCs/>
          <w:kern w:val="0"/>
          <w:sz w:val="32"/>
          <w:szCs w:val="32"/>
          <w:highlight w:val="none"/>
        </w:rPr>
        <w:t>%；项目支出36.38万元，占</w:t>
      </w:r>
      <w:r>
        <w:rPr>
          <w:rFonts w:hint="eastAsia" w:ascii="仿宋_GB2312" w:eastAsia="仿宋_GB2312" w:cs="仿宋_GB2312"/>
          <w:bCs/>
          <w:kern w:val="0"/>
          <w:sz w:val="32"/>
          <w:szCs w:val="32"/>
          <w:highlight w:val="none"/>
          <w:lang w:val="en-US" w:eastAsia="zh-CN"/>
        </w:rPr>
        <w:t>18.22</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年度财政拨款收、支总决算</w:t>
      </w:r>
      <w:r>
        <w:rPr>
          <w:rFonts w:hint="eastAsia" w:ascii="仿宋_GB2312" w:eastAsia="仿宋_GB2312"/>
          <w:sz w:val="32"/>
          <w:szCs w:val="32"/>
        </w:rPr>
        <w:t>199.71</w:t>
      </w:r>
      <w:r>
        <w:rPr>
          <w:rFonts w:hint="eastAsia" w:ascii="仿宋_GB2312" w:eastAsia="仿宋_GB2312" w:cs="仿宋_GB2312"/>
          <w:bCs/>
          <w:kern w:val="0"/>
          <w:sz w:val="32"/>
          <w:szCs w:val="32"/>
        </w:rPr>
        <w:t>万元、</w:t>
      </w:r>
      <w:r>
        <w:rPr>
          <w:rFonts w:hint="eastAsia" w:ascii="仿宋_GB2312" w:eastAsia="仿宋_GB2312"/>
          <w:sz w:val="32"/>
          <w:szCs w:val="32"/>
        </w:rPr>
        <w:t>199.71</w:t>
      </w:r>
      <w:r>
        <w:rPr>
          <w:rFonts w:hint="eastAsia" w:ascii="仿宋_GB2312" w:eastAsia="仿宋_GB2312" w:cs="仿宋_GB2312"/>
          <w:bCs/>
          <w:kern w:val="0"/>
          <w:sz w:val="32"/>
          <w:szCs w:val="32"/>
        </w:rPr>
        <w:t>万元。与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年相比，财政拨款收、支总计各增加</w:t>
      </w:r>
      <w:r>
        <w:rPr>
          <w:rFonts w:hint="eastAsia" w:ascii="仿宋_GB2312" w:eastAsia="仿宋_GB2312" w:cs="仿宋_GB2312"/>
          <w:bCs/>
          <w:kern w:val="0"/>
          <w:sz w:val="32"/>
          <w:szCs w:val="32"/>
          <w:lang w:val="en-US" w:eastAsia="zh-CN"/>
        </w:rPr>
        <w:t>20.39</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10.21</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eastAsia="仿宋_GB2312"/>
          <w:b/>
          <w:kern w:val="0"/>
          <w:sz w:val="32"/>
          <w:szCs w:val="32"/>
        </w:rPr>
      </w:pPr>
      <w:r>
        <w:rPr>
          <w:rFonts w:hint="eastAsia" w:eastAsia="仿宋_GB2312"/>
          <w:b/>
          <w:kern w:val="0"/>
          <w:sz w:val="32"/>
          <w:szCs w:val="32"/>
        </w:rPr>
        <w:t>五、201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sz w:val="32"/>
          <w:szCs w:val="32"/>
        </w:rPr>
        <w:t>199.71</w:t>
      </w:r>
      <w:r>
        <w:rPr>
          <w:rFonts w:hint="eastAsia" w:ascii="仿宋_GB2312" w:eastAsia="仿宋_GB2312" w:cs="仿宋_GB2312"/>
          <w:bCs/>
          <w:kern w:val="0"/>
          <w:sz w:val="32"/>
          <w:szCs w:val="32"/>
        </w:rPr>
        <w:t xml:space="preserve">万元，占本年支出合计的100%。与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年相比，财政拨款支出增加</w:t>
      </w:r>
      <w:r>
        <w:rPr>
          <w:rFonts w:hint="eastAsia" w:ascii="仿宋_GB2312" w:eastAsia="仿宋_GB2312" w:cs="仿宋_GB2312"/>
          <w:bCs/>
          <w:kern w:val="0"/>
          <w:sz w:val="32"/>
          <w:szCs w:val="32"/>
          <w:lang w:val="en-US" w:eastAsia="zh-CN"/>
        </w:rPr>
        <w:t>20.39</w:t>
      </w:r>
      <w:r>
        <w:rPr>
          <w:rFonts w:hint="eastAsia" w:ascii="仿宋_GB2312" w:eastAsia="仿宋_GB2312" w:cs="仿宋_GB2312"/>
          <w:bCs/>
          <w:kern w:val="0"/>
          <w:sz w:val="32"/>
          <w:szCs w:val="32"/>
        </w:rPr>
        <w:t>万元，增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10.21</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eastAsia="zh-CN"/>
        </w:rPr>
        <w:t>199.71</w:t>
      </w:r>
      <w:r>
        <w:rPr>
          <w:rFonts w:hint="eastAsia" w:ascii="仿宋_GB2312" w:eastAsia="仿宋_GB2312" w:cs="仿宋_GB2312"/>
          <w:bCs/>
          <w:kern w:val="0"/>
          <w:sz w:val="32"/>
          <w:szCs w:val="32"/>
        </w:rPr>
        <w:t>万元，主要用于以下方面：一般公共服务（类）支出151.19万元， 占</w:t>
      </w:r>
      <w:r>
        <w:rPr>
          <w:rFonts w:hint="eastAsia" w:ascii="仿宋_GB2312" w:eastAsia="仿宋_GB2312" w:cs="仿宋_GB2312"/>
          <w:bCs/>
          <w:kern w:val="0"/>
          <w:sz w:val="32"/>
          <w:szCs w:val="32"/>
          <w:lang w:val="en-US" w:eastAsia="zh-CN"/>
        </w:rPr>
        <w:t>75.7</w:t>
      </w:r>
      <w:r>
        <w:rPr>
          <w:rFonts w:hint="eastAsia" w:ascii="仿宋_GB2312" w:eastAsia="仿宋_GB2312" w:cs="仿宋_GB2312"/>
          <w:bCs/>
          <w:kern w:val="0"/>
          <w:sz w:val="32"/>
          <w:szCs w:val="32"/>
        </w:rPr>
        <w:t>%；社会保障和就业（类）支出20.03万元，占</w:t>
      </w:r>
      <w:r>
        <w:rPr>
          <w:rFonts w:hint="eastAsia" w:ascii="仿宋_GB2312" w:eastAsia="仿宋_GB2312" w:cs="仿宋_GB2312"/>
          <w:bCs/>
          <w:kern w:val="0"/>
          <w:sz w:val="32"/>
          <w:szCs w:val="32"/>
          <w:lang w:val="en-US" w:eastAsia="zh-CN"/>
        </w:rPr>
        <w:t>10.03</w:t>
      </w:r>
      <w:r>
        <w:rPr>
          <w:rFonts w:hint="eastAsia" w:ascii="仿宋_GB2312" w:eastAsia="仿宋_GB2312" w:cs="仿宋_GB2312"/>
          <w:bCs/>
          <w:kern w:val="0"/>
          <w:sz w:val="32"/>
          <w:szCs w:val="32"/>
        </w:rPr>
        <w:t>%； 卫生健康（类）支出16.32</w:t>
      </w:r>
      <w:r>
        <w:rPr>
          <w:rFonts w:hint="eastAsia" w:ascii="仿宋_GB2312" w:eastAsia="仿宋_GB2312" w:cs="仿宋_GB2312"/>
          <w:bCs/>
          <w:kern w:val="0"/>
          <w:sz w:val="32"/>
          <w:szCs w:val="32"/>
          <w:lang w:eastAsia="zh-CN"/>
        </w:rPr>
        <w:t>万元，占</w:t>
      </w:r>
      <w:r>
        <w:rPr>
          <w:rFonts w:hint="eastAsia" w:ascii="仿宋_GB2312" w:eastAsia="仿宋_GB2312" w:cs="仿宋_GB2312"/>
          <w:bCs/>
          <w:kern w:val="0"/>
          <w:sz w:val="32"/>
          <w:szCs w:val="32"/>
          <w:lang w:val="en-US" w:eastAsia="zh-CN"/>
        </w:rPr>
        <w:t>8.17%；</w:t>
      </w:r>
      <w:r>
        <w:rPr>
          <w:rFonts w:hint="eastAsia" w:ascii="仿宋_GB2312" w:eastAsia="仿宋_GB2312" w:cs="仿宋_GB2312"/>
          <w:bCs/>
          <w:kern w:val="0"/>
          <w:sz w:val="32"/>
          <w:szCs w:val="32"/>
        </w:rPr>
        <w:t xml:space="preserve">住房保障（类）支出12.17万元，占 </w:t>
      </w:r>
      <w:r>
        <w:rPr>
          <w:rFonts w:hint="eastAsia" w:ascii="仿宋_GB2312" w:eastAsia="仿宋_GB2312" w:cs="仿宋_GB2312"/>
          <w:bCs/>
          <w:kern w:val="0"/>
          <w:sz w:val="32"/>
          <w:szCs w:val="32"/>
          <w:lang w:val="en-US" w:eastAsia="zh-CN"/>
        </w:rPr>
        <w:t>6.09</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
          <w:bCs/>
          <w:color w:val="FF0000"/>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2019</w:t>
      </w:r>
      <w:r>
        <w:rPr>
          <w:rFonts w:hint="eastAsia" w:ascii="仿宋_GB2312" w:eastAsia="仿宋_GB2312" w:cs="仿宋_GB2312"/>
          <w:bCs/>
          <w:kern w:val="0"/>
          <w:sz w:val="32"/>
          <w:szCs w:val="32"/>
        </w:rPr>
        <w:t>年度财政拨款支出年初预算为</w:t>
      </w:r>
      <w:r>
        <w:rPr>
          <w:rFonts w:hint="eastAsia" w:ascii="仿宋_GB2312" w:eastAsia="仿宋_GB2312" w:cs="仿宋_GB2312"/>
          <w:bCs/>
          <w:kern w:val="0"/>
          <w:sz w:val="32"/>
          <w:szCs w:val="32"/>
          <w:lang w:val="en-US" w:eastAsia="zh-CN"/>
        </w:rPr>
        <w:t>174.59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eastAsia="zh-CN"/>
        </w:rPr>
        <w:t>199.71</w:t>
      </w:r>
      <w:r>
        <w:rPr>
          <w:rFonts w:hint="eastAsia" w:ascii="仿宋_GB2312" w:eastAsia="仿宋_GB2312" w:cs="仿宋_GB2312"/>
          <w:bCs/>
          <w:kern w:val="0"/>
          <w:sz w:val="32"/>
          <w:szCs w:val="32"/>
        </w:rPr>
        <w:t>万元，完成年初预算的100%。决算数大于预算数的主要原因是年中追加安排财政拨款支出预算，涉及项目有2018年增人增资养老保险、补发2018年度绩效考评奖励、预发2019年度绩效考评奖励（增补）、预发2019年度绩效考评奖励（补差）、增人增资、2018年度考核优秀奖励等。其中：</w:t>
      </w:r>
      <w:r>
        <w:rPr>
          <w:rFonts w:hint="eastAsia" w:ascii="仿宋_GB2312" w:eastAsia="仿宋_GB2312" w:cs="仿宋_GB2312"/>
          <w:b/>
          <w:bCs/>
          <w:color w:val="FF0000"/>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1. 一般公共服务（类）民主党派及工商联事务（款）行政运行（项）。 年初预算为93.85万元，支出决算为114.81万元，完成年初预算的100%。决算数大于预算数的主要原因是年中追加安排财政拨款支出预算，涉及项目有2018年增人增资养老保险、补发2018年度绩效考评奖励、预发2019年度绩效考评奖励（增补）、预发2019年度绩效考评奖励（补差）、增人增资、2018年度考核优秀奖励等。</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2.一般公共服务（类）民主党派及工商联事务（款）一般行政管理事务（项）。年初预算为</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万元，支出决算为</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 xml:space="preserve"> 万元，完成年初预算的</w:t>
      </w:r>
      <w:r>
        <w:rPr>
          <w:rFonts w:hint="eastAsia" w:ascii="仿宋_GB2312" w:eastAsia="仿宋_GB2312" w:cs="仿宋_GB2312"/>
          <w:b w:val="0"/>
          <w:bCs w:val="0"/>
          <w:color w:val="auto"/>
          <w:kern w:val="0"/>
          <w:sz w:val="32"/>
          <w:szCs w:val="32"/>
          <w:lang w:val="en-US" w:eastAsia="zh-CN"/>
        </w:rPr>
        <w:t>0</w:t>
      </w:r>
      <w:r>
        <w:rPr>
          <w:rFonts w:hint="eastAsia" w:ascii="仿宋_GB2312" w:eastAsia="仿宋_GB2312" w:cs="仿宋_GB2312"/>
          <w:b w:val="0"/>
          <w:bCs w:val="0"/>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3.一般公共服务（类）民主党派及工商联事务（款）参政议政（项）。年初预算为37.5万元，支出决算为36.38万元，完成年初预算的</w:t>
      </w:r>
      <w:r>
        <w:rPr>
          <w:rFonts w:hint="eastAsia" w:ascii="仿宋_GB2312" w:eastAsia="仿宋_GB2312" w:cs="仿宋_GB2312"/>
          <w:b w:val="0"/>
          <w:bCs w:val="0"/>
          <w:color w:val="auto"/>
          <w:kern w:val="0"/>
          <w:sz w:val="32"/>
          <w:szCs w:val="32"/>
          <w:lang w:val="en-US" w:eastAsia="zh-CN"/>
        </w:rPr>
        <w:t>97.01</w:t>
      </w:r>
      <w:r>
        <w:rPr>
          <w:rFonts w:hint="eastAsia" w:ascii="仿宋_GB2312" w:eastAsia="仿宋_GB2312" w:cs="仿宋_GB2312"/>
          <w:b w:val="0"/>
          <w:bCs w:val="0"/>
          <w:color w:val="auto"/>
          <w:kern w:val="0"/>
          <w:sz w:val="32"/>
          <w:szCs w:val="32"/>
        </w:rPr>
        <w:t>%。决算数小于预算数的主要原因是压减培训经费。</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4.社会保障和就业（类）行政事业单位离退休（款）归口管理的行政单位离退休（项）。年初预算为4.66万元，支出决算为4.66万元，完成年初预算的</w:t>
      </w:r>
      <w:r>
        <w:rPr>
          <w:rFonts w:hint="eastAsia" w:ascii="仿宋_GB2312" w:eastAsia="仿宋_GB2312" w:cs="仿宋_GB2312"/>
          <w:b w:val="0"/>
          <w:bCs w:val="0"/>
          <w:color w:val="auto"/>
          <w:kern w:val="0"/>
          <w:sz w:val="32"/>
          <w:szCs w:val="32"/>
          <w:lang w:val="en-US" w:eastAsia="zh-CN"/>
        </w:rPr>
        <w:t>100</w:t>
      </w:r>
      <w:r>
        <w:rPr>
          <w:rFonts w:hint="eastAsia" w:ascii="仿宋_GB2312" w:eastAsia="仿宋_GB2312" w:cs="仿宋_GB2312"/>
          <w:b w:val="0"/>
          <w:bCs w:val="0"/>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5.社会保障和就业（类）行政事业单位离退休（款）机关事业单位基本养老保险缴费支出（项）。年初预算为17.11万元，支出决算为15.37 万元，完成年初预算的</w:t>
      </w:r>
      <w:r>
        <w:rPr>
          <w:rFonts w:hint="eastAsia" w:ascii="仿宋_GB2312" w:eastAsia="仿宋_GB2312" w:cs="仿宋_GB2312"/>
          <w:b w:val="0"/>
          <w:bCs w:val="0"/>
          <w:color w:val="auto"/>
          <w:kern w:val="0"/>
          <w:sz w:val="32"/>
          <w:szCs w:val="32"/>
          <w:lang w:val="en-US" w:eastAsia="zh-CN"/>
        </w:rPr>
        <w:t>89.83</w:t>
      </w:r>
      <w:r>
        <w:rPr>
          <w:rFonts w:hint="eastAsia" w:ascii="仿宋_GB2312" w:eastAsia="仿宋_GB2312" w:cs="仿宋_GB2312"/>
          <w:b w:val="0"/>
          <w:bCs w:val="0"/>
          <w:color w:val="auto"/>
          <w:kern w:val="0"/>
          <w:sz w:val="32"/>
          <w:szCs w:val="32"/>
        </w:rPr>
        <w:t>%。决算数小于预算数的主要原因是机关事业单位基本养老保险经费压减。</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6.医疗卫生与计划生育（类）行政事业单位医疗（款）行政单位医疗（项）。年初预算为6.42万元，支出决算为6.62 万元，完成年初预算的100%。决算数大于预算数的主要原因是年中追加安排财政拨款支出预算，涉及项目有2018年增资医疗保险缴费。</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7.医疗卫生与计划生育（类）行政事业单位医疗（款）公务员医疗补助（项）。年初预算为4.79元，支出决算为9.70 万元，完成年初预算的100%。决算数大于预算数的主要原因是年中追加安排财政拨款支出预算，涉及项目是补机关、参公单位2018年7月-2020年6月公务员医疗补助差额。</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rPr>
        <w:t>8.住房保障（类）住房改革支出（款）住房公积金（项）。年初预算为10.26万元，支出决算为10.59 万元，完成年初预算的100%。决算数大于预算数的主要原因是年中追加安排财政拨款支出预算，涉及项目有补发2018年度增人增资公积金。</w:t>
      </w:r>
    </w:p>
    <w:p>
      <w:pPr>
        <w:autoSpaceDE w:val="0"/>
        <w:autoSpaceDN w:val="0"/>
        <w:adjustRightInd w:val="0"/>
        <w:spacing w:line="560" w:lineRule="exact"/>
        <w:ind w:firstLine="640" w:firstLineChars="200"/>
        <w:jc w:val="left"/>
        <w:rPr>
          <w:rFonts w:hint="eastAsia" w:ascii="仿宋_GB2312" w:eastAsia="仿宋_GB2312" w:cs="仿宋_GB2312"/>
          <w:b/>
          <w:bCs/>
          <w:color w:val="auto"/>
          <w:kern w:val="0"/>
          <w:sz w:val="32"/>
          <w:szCs w:val="32"/>
        </w:rPr>
      </w:pPr>
      <w:r>
        <w:rPr>
          <w:rFonts w:hint="eastAsia" w:ascii="仿宋_GB2312" w:eastAsia="仿宋_GB2312" w:cs="仿宋_GB2312"/>
          <w:b w:val="0"/>
          <w:bCs w:val="0"/>
          <w:color w:val="auto"/>
          <w:kern w:val="0"/>
          <w:sz w:val="32"/>
          <w:szCs w:val="32"/>
        </w:rPr>
        <w:t>9.住房保障（类）住房改革支出（款）购房补贴（项）。年初预算为0万元，支出决算为1.58 万元，完成年初预算的100%。决算数大于预算数的主要原因是年中追加安排财政拨款支出预算，涉及项目有2019年购房补贴。</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w:t>
      </w:r>
      <w:r>
        <w:rPr>
          <w:rFonts w:hint="eastAsia" w:ascii="仿宋_GB2312" w:eastAsia="仿宋_GB2312" w:cs="仿宋_GB2312"/>
          <w:b/>
          <w:kern w:val="0"/>
          <w:sz w:val="32"/>
          <w:szCs w:val="32"/>
          <w:lang w:eastAsia="zh-CN"/>
        </w:rPr>
        <w:t>2019</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2019</w:t>
      </w:r>
      <w:r>
        <w:rPr>
          <w:rFonts w:hint="eastAsia" w:ascii="仿宋_GB2312" w:eastAsia="仿宋_GB2312" w:cs="仿宋_GB2312"/>
          <w:bCs/>
          <w:kern w:val="0"/>
          <w:sz w:val="32"/>
          <w:szCs w:val="32"/>
        </w:rPr>
        <w:t>年度财政拨款基本支出</w:t>
      </w:r>
      <w:r>
        <w:rPr>
          <w:rFonts w:hint="eastAsia" w:ascii="仿宋_GB2312" w:eastAsia="仿宋_GB2312" w:cs="仿宋_GB2312"/>
          <w:bCs/>
          <w:kern w:val="0"/>
          <w:sz w:val="32"/>
          <w:szCs w:val="32"/>
          <w:lang w:eastAsia="zh-CN"/>
        </w:rPr>
        <w:t>199.71</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人员经费140.75 万元，主要包括：基本工资、津贴补贴、 奖金、绩效工资、机关事业单位基本养老保险缴费、职工基本医疗保险缴费、公务员医疗补助缴费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其他社会保障缴费、住房公积</w:t>
      </w:r>
      <w:r>
        <w:rPr>
          <w:rFonts w:hint="eastAsia" w:ascii="仿宋_GB2312" w:eastAsia="仿宋_GB2312" w:cs="仿宋_GB2312"/>
          <w:bCs/>
          <w:kern w:val="0"/>
          <w:sz w:val="32"/>
          <w:szCs w:val="32"/>
          <w:lang w:eastAsia="zh-CN"/>
        </w:rPr>
        <w:t>金等</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公用经费22.58 万元，主要 包括：办公费、其他资本性支出等。</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w:t>
      </w:r>
      <w:r>
        <w:rPr>
          <w:rFonts w:hint="eastAsia" w:ascii="仿宋_GB2312" w:eastAsia="仿宋_GB2312" w:cs="仿宋_GB2312"/>
          <w:b/>
          <w:kern w:val="0"/>
          <w:sz w:val="32"/>
          <w:szCs w:val="32"/>
          <w:lang w:eastAsia="zh-CN"/>
        </w:rPr>
        <w:t>2019</w:t>
      </w:r>
      <w:r>
        <w:rPr>
          <w:rFonts w:hint="eastAsia" w:ascii="仿宋_GB2312" w:eastAsia="仿宋_GB2312" w:cs="仿宋_GB2312"/>
          <w:b/>
          <w:kern w:val="0"/>
          <w:sz w:val="32"/>
          <w:szCs w:val="32"/>
        </w:rPr>
        <w:t>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（一）“三公”经费财政拨款支出决算总体情况</w:t>
      </w:r>
    </w:p>
    <w:p>
      <w:pPr>
        <w:autoSpaceDE w:val="0"/>
        <w:autoSpaceDN w:val="0"/>
        <w:adjustRightInd w:val="0"/>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2019年度“三公”经费财政拨款支出预算为</w:t>
      </w:r>
      <w:r>
        <w:rPr>
          <w:rFonts w:hint="eastAsia" w:ascii="仿宋_GB2312" w:eastAsia="仿宋_GB2312" w:cs="仿宋_GB2312"/>
          <w:bCs/>
          <w:kern w:val="0"/>
          <w:sz w:val="32"/>
          <w:szCs w:val="32"/>
          <w:highlight w:val="none"/>
          <w:lang w:val="en-US" w:eastAsia="zh-CN"/>
        </w:rPr>
        <w:t>0.8</w:t>
      </w:r>
      <w:r>
        <w:rPr>
          <w:rFonts w:hint="eastAsia" w:ascii="仿宋_GB2312" w:eastAsia="仿宋_GB2312" w:cs="仿宋_GB2312"/>
          <w:bCs/>
          <w:kern w:val="0"/>
          <w:sz w:val="32"/>
          <w:szCs w:val="32"/>
          <w:highlight w:val="none"/>
        </w:rPr>
        <w:t>万元， 支出决算为</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38.75</w:t>
      </w:r>
      <w:r>
        <w:rPr>
          <w:rFonts w:hint="eastAsia" w:ascii="仿宋_GB2312" w:eastAsia="仿宋_GB2312" w:cs="仿宋_GB2312"/>
          <w:bCs/>
          <w:kern w:val="0"/>
          <w:sz w:val="32"/>
          <w:szCs w:val="32"/>
          <w:highlight w:val="none"/>
        </w:rPr>
        <w:t>%,其中：因公出国（境） 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%。2019年度“三公”经费支出决算数小于预算数的主要原因是认真贯彻落实中央“八项规定”精神和厉行节约要求，进一步从严控制“三公”经费开支，全年实际支出比预算有所节约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2019年度“三公”经费财政拨款支出决算数比2018年</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%,其中：因公出国（境）费支出决算0万元，与2018年持平；公务用车购置及运行费支出决算0万元，与2018年持平；公务接待费支出决算</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p>
    <w:p>
      <w:pPr>
        <w:tabs>
          <w:tab w:val="right" w:pos="7676"/>
        </w:tabs>
        <w:autoSpaceDE w:val="0"/>
        <w:autoSpaceDN w:val="0"/>
        <w:adjustRightInd w:val="0"/>
        <w:ind w:firstLine="620" w:firstLineChars="200"/>
        <w:jc w:val="left"/>
        <w:rPr>
          <w:rFonts w:hint="eastAsia" w:ascii="仿宋_GB2312" w:eastAsia="仿宋_GB2312" w:cs="仿宋_GB2312"/>
          <w:bCs/>
          <w:kern w:val="0"/>
          <w:sz w:val="32"/>
          <w:szCs w:val="32"/>
          <w:highlight w:val="red"/>
          <w:lang w:eastAsia="zh-CN"/>
        </w:rPr>
      </w:pPr>
      <w:r>
        <w:rPr>
          <w:rFonts w:ascii="仿宋_GB2312" w:hAnsi="宋体" w:eastAsia="仿宋_GB2312" w:cs="仿宋_GB2312"/>
          <w:i w:val="0"/>
          <w:caps w:val="0"/>
          <w:color w:val="000000"/>
          <w:spacing w:val="0"/>
          <w:sz w:val="31"/>
          <w:szCs w:val="31"/>
        </w:rPr>
        <w:t>公务接待费支出</w:t>
      </w:r>
      <w:r>
        <w:rPr>
          <w:rFonts w:hint="eastAsia" w:ascii="仿宋_GB2312" w:hAnsi="宋体" w:eastAsia="仿宋_GB2312" w:cs="仿宋_GB2312"/>
          <w:i w:val="0"/>
          <w:caps w:val="0"/>
          <w:color w:val="000000"/>
          <w:spacing w:val="0"/>
          <w:sz w:val="31"/>
          <w:szCs w:val="31"/>
        </w:rPr>
        <w:t>增加的主要原因是接待人次增加</w:t>
      </w:r>
      <w:r>
        <w:rPr>
          <w:rFonts w:hint="eastAsia" w:ascii="仿宋_GB2312" w:hAnsi="宋体" w:eastAsia="仿宋_GB2312" w:cs="仿宋_GB2312"/>
          <w:i w:val="0"/>
          <w:caps w:val="0"/>
          <w:color w:val="000000"/>
          <w:spacing w:val="0"/>
          <w:sz w:val="31"/>
          <w:szCs w:val="31"/>
          <w:lang w:eastAsia="zh-CN"/>
        </w:rPr>
        <w:t>。</w:t>
      </w:r>
    </w:p>
    <w:p>
      <w:pPr>
        <w:autoSpaceDE w:val="0"/>
        <w:autoSpaceDN w:val="0"/>
        <w:adjustRightInd w:val="0"/>
        <w:ind w:firstLine="640" w:firstLineChars="200"/>
        <w:jc w:val="left"/>
        <w:rPr>
          <w:rFonts w:hint="eastAsia" w:ascii="仿宋_GB2312" w:eastAsia="仿宋_GB2312" w:cs="仿宋_GB2312"/>
          <w:bCs/>
          <w:kern w:val="0"/>
          <w:sz w:val="32"/>
          <w:szCs w:val="32"/>
          <w:highlight w:val="red"/>
        </w:rPr>
      </w:pPr>
      <w:r>
        <w:rPr>
          <w:rFonts w:hint="eastAsia" w:ascii="仿宋_GB2312" w:eastAsia="仿宋_GB2312" w:cs="仿宋_GB2312"/>
          <w:bCs/>
          <w:kern w:val="0"/>
          <w:sz w:val="32"/>
          <w:szCs w:val="32"/>
          <w:highlight w:val="none"/>
        </w:rPr>
        <w:t>（二）“三公”经费财政拨款支出决算具体情况</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2019年度“三公”经费财政拨款支出决算中，因公出国（境）费支出决算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 xml:space="preserve">%；公务接待费支出决算 </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 xml:space="preserve"> %。具体情况如下：</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1.因公出国（境）费支出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万元。全年安排机关和所属单位因公出国（境）团组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2.公务用车购置及运行费支出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万元。公务用车运行支出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万元。2019年，机关所属单位开支财政拨款的公 务用车保有量为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辆。</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3.公务接待费支出</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万元。其中：</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万元。2019年共接待国（境）外来访团组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autoSpaceDE w:val="0"/>
        <w:autoSpaceDN w:val="0"/>
        <w:adjustRightInd w:val="0"/>
        <w:ind w:firstLine="640" w:firstLineChars="200"/>
        <w:jc w:val="left"/>
        <w:rPr>
          <w:rFonts w:hint="eastAsia" w:ascii="仿宋_GB2312" w:eastAsia="仿宋_GB2312" w:cs="仿宋_GB2312"/>
          <w:b/>
          <w:bCs w:val="0"/>
          <w:kern w:val="0"/>
          <w:sz w:val="32"/>
          <w:szCs w:val="32"/>
          <w:highlight w:val="none"/>
        </w:rPr>
      </w:pPr>
      <w:r>
        <w:rPr>
          <w:rFonts w:hint="eastAsia" w:ascii="仿宋_GB2312" w:eastAsia="仿宋_GB2312" w:cs="仿宋_GB2312"/>
          <w:bCs/>
          <w:kern w:val="0"/>
          <w:sz w:val="32"/>
          <w:szCs w:val="32"/>
          <w:highlight w:val="none"/>
        </w:rPr>
        <w:t>国内公务接待支出</w:t>
      </w:r>
      <w:r>
        <w:rPr>
          <w:rFonts w:hint="eastAsia" w:ascii="仿宋_GB2312" w:eastAsia="仿宋_GB2312" w:cs="仿宋_GB2312"/>
          <w:bCs/>
          <w:kern w:val="0"/>
          <w:sz w:val="32"/>
          <w:szCs w:val="32"/>
          <w:highlight w:val="none"/>
          <w:lang w:val="en-US" w:eastAsia="zh-CN"/>
        </w:rPr>
        <w:t>0.31</w:t>
      </w:r>
      <w:r>
        <w:rPr>
          <w:rFonts w:hint="eastAsia" w:ascii="仿宋_GB2312" w:eastAsia="仿宋_GB2312" w:cs="仿宋_GB2312"/>
          <w:bCs/>
          <w:kern w:val="0"/>
          <w:sz w:val="32"/>
          <w:szCs w:val="32"/>
          <w:highlight w:val="none"/>
        </w:rPr>
        <w:t>万元。主要用于接待上级及地方有关部门督查、各地兄弟单位交流、各类交流业务和各类项目检查等公务接待支出。2019年 共接待国内来访团组</w:t>
      </w: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24</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 xml:space="preserve">，主要是民建广西区委和各地市委会来柳调研。   </w:t>
      </w:r>
      <w:r>
        <w:rPr>
          <w:rFonts w:hint="eastAsia" w:ascii="仿宋_GB2312" w:eastAsia="仿宋_GB2312" w:cs="仿宋_GB2312"/>
          <w:b/>
          <w:bCs w:val="0"/>
          <w:kern w:val="0"/>
          <w:sz w:val="32"/>
          <w:szCs w:val="32"/>
          <w:highlight w:val="none"/>
        </w:rPr>
        <w:t>八、2019年度政府性基金预算财政拨款收入支出决算情 况说明</w:t>
      </w:r>
    </w:p>
    <w:p>
      <w:p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本部门2019年度没有政府性基金预算财政拨款收入，也没有政府性基金预算财政拨款支出。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lang w:eastAsia="zh-CN"/>
        </w:rPr>
        <w:t>九</w:t>
      </w:r>
      <w:r>
        <w:rPr>
          <w:rFonts w:hint="eastAsia" w:ascii="仿宋_GB2312" w:eastAsia="仿宋_GB2312" w:cs="仿宋_GB2312"/>
          <w:b/>
          <w:kern w:val="0"/>
          <w:sz w:val="32"/>
          <w:szCs w:val="32"/>
        </w:rPr>
        <w:t>、</w:t>
      </w:r>
      <w:r>
        <w:rPr>
          <w:rFonts w:hint="eastAsia" w:eastAsia="仿宋_GB2312"/>
          <w:b/>
          <w:kern w:val="0"/>
          <w:sz w:val="32"/>
          <w:szCs w:val="32"/>
          <w:lang w:eastAsia="zh-CN"/>
        </w:rPr>
        <w:t>2019</w:t>
      </w:r>
      <w:r>
        <w:rPr>
          <w:rFonts w:hint="eastAsia" w:ascii="仿宋_GB2312" w:eastAsia="仿宋_GB2312" w:cs="仿宋_GB2312"/>
          <w:b/>
          <w:kern w:val="0"/>
          <w:sz w:val="32"/>
          <w:szCs w:val="32"/>
        </w:rPr>
        <w:t>年度预算绩效情况说明</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w:t>
      </w:r>
      <w:r>
        <w:rPr>
          <w:rFonts w:hint="eastAsia" w:ascii="仿宋_GB2312" w:eastAsia="仿宋_GB2312" w:cs="仿宋_GB2312"/>
          <w:bCs/>
          <w:kern w:val="0"/>
          <w:sz w:val="32"/>
          <w:szCs w:val="32"/>
          <w:lang w:eastAsia="zh-CN"/>
        </w:rPr>
        <w:t>2019</w:t>
      </w:r>
      <w:r>
        <w:rPr>
          <w:rFonts w:hint="eastAsia" w:ascii="仿宋_GB2312" w:eastAsia="仿宋_GB2312" w:cs="仿宋_GB2312"/>
          <w:bCs/>
          <w:kern w:val="0"/>
          <w:sz w:val="32"/>
          <w:szCs w:val="32"/>
        </w:rPr>
        <w:t>年度一般公共 预算项目支出全面开展绩效自评。</w:t>
      </w:r>
      <w:r>
        <w:rPr>
          <w:rFonts w:hint="eastAsia" w:ascii="仿宋_GB2312" w:eastAsia="仿宋_GB2312" w:cs="仿宋_GB2312"/>
          <w:bCs/>
          <w:kern w:val="0"/>
          <w:sz w:val="32"/>
          <w:szCs w:val="32"/>
          <w:highlight w:val="none"/>
        </w:rPr>
        <w:t>其中，一级项目3个，二级项目10个，</w:t>
      </w:r>
      <w:r>
        <w:rPr>
          <w:rFonts w:hint="eastAsia" w:ascii="仿宋_GB2312" w:eastAsia="仿宋_GB2312" w:cs="仿宋_GB2312"/>
          <w:bCs/>
          <w:kern w:val="0"/>
          <w:sz w:val="32"/>
          <w:szCs w:val="32"/>
        </w:rPr>
        <w:t>共涉及预算资金</w:t>
      </w:r>
      <w:r>
        <w:rPr>
          <w:rFonts w:hint="eastAsia" w:ascii="仿宋_GB2312" w:eastAsia="仿宋_GB2312" w:cs="仿宋_GB2312"/>
          <w:bCs/>
          <w:kern w:val="0"/>
          <w:sz w:val="32"/>
          <w:szCs w:val="32"/>
          <w:lang w:eastAsia="zh-CN"/>
        </w:rPr>
        <w:t>199.71</w:t>
      </w:r>
      <w:r>
        <w:rPr>
          <w:rFonts w:hint="eastAsia" w:ascii="仿宋_GB2312" w:eastAsia="仿宋_GB2312" w:cs="仿宋_GB2312"/>
          <w:bCs/>
          <w:kern w:val="0"/>
          <w:sz w:val="32"/>
          <w:szCs w:val="32"/>
        </w:rPr>
        <w:t xml:space="preserve">万元，自评覆盖率达到100%。 </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各项绩效目标基本按照计划如期进行，项目经费均按预算合理使用，组织实施情况良好，顺利完成全年任务，资金使用率100%。</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lang w:eastAsia="zh-CN"/>
        </w:rPr>
        <w:t>十</w:t>
      </w:r>
      <w:r>
        <w:rPr>
          <w:rFonts w:hint="eastAsia" w:ascii="仿宋_GB2312" w:eastAsia="仿宋_GB2312" w:cs="仿宋_GB2312"/>
          <w:b/>
          <w:kern w:val="0"/>
          <w:sz w:val="32"/>
          <w:szCs w:val="32"/>
        </w:rPr>
        <w:t>、其他重要事项的情况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highlight w:val="none"/>
        </w:rPr>
        <w:t>机关运行经费支出情况。</w:t>
      </w:r>
      <w:r>
        <w:rPr>
          <w:rFonts w:hint="eastAsia" w:ascii="仿宋_GB2312" w:eastAsia="仿宋_GB2312" w:cs="仿宋_GB2312"/>
          <w:kern w:val="0"/>
          <w:sz w:val="32"/>
          <w:szCs w:val="32"/>
          <w:highlight w:val="none"/>
          <w:lang w:eastAsia="zh-CN"/>
        </w:rPr>
        <w:t>2019</w:t>
      </w:r>
      <w:r>
        <w:rPr>
          <w:rFonts w:hint="eastAsia" w:ascii="仿宋_GB2312" w:eastAsia="仿宋_GB2312" w:cs="仿宋_GB2312"/>
          <w:kern w:val="0"/>
          <w:sz w:val="32"/>
          <w:szCs w:val="32"/>
          <w:highlight w:val="none"/>
        </w:rPr>
        <w:t>年度部门机关运行经费支出</w:t>
      </w:r>
      <w:r>
        <w:rPr>
          <w:rFonts w:hint="eastAsia" w:ascii="仿宋_GB2312" w:eastAsia="仿宋_GB2312" w:cs="仿宋_GB2312"/>
          <w:kern w:val="0"/>
          <w:sz w:val="32"/>
          <w:szCs w:val="32"/>
          <w:highlight w:val="none"/>
          <w:lang w:val="en-US" w:eastAsia="zh-CN"/>
        </w:rPr>
        <w:t>22.58</w:t>
      </w:r>
      <w:r>
        <w:rPr>
          <w:rFonts w:hint="eastAsia" w:ascii="仿宋_GB2312" w:eastAsia="仿宋_GB2312" w:cs="仿宋_GB2312"/>
          <w:kern w:val="0"/>
          <w:sz w:val="32"/>
          <w:szCs w:val="32"/>
          <w:highlight w:val="none"/>
        </w:rPr>
        <w:t>万元，比 201</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年</w:t>
      </w:r>
      <w:r>
        <w:rPr>
          <w:rFonts w:hint="eastAsia" w:ascii="仿宋_GB2312" w:eastAsia="仿宋_GB2312" w:cs="仿宋_GB2312"/>
          <w:kern w:val="0"/>
          <w:sz w:val="32"/>
          <w:szCs w:val="32"/>
          <w:highlight w:val="none"/>
          <w:lang w:eastAsia="zh-CN"/>
        </w:rPr>
        <w:t>减少</w:t>
      </w:r>
      <w:r>
        <w:rPr>
          <w:rFonts w:hint="eastAsia" w:ascii="仿宋_GB2312" w:eastAsia="仿宋_GB2312" w:cs="仿宋_GB2312"/>
          <w:kern w:val="0"/>
          <w:sz w:val="32"/>
          <w:szCs w:val="32"/>
          <w:highlight w:val="none"/>
          <w:lang w:val="en-US" w:eastAsia="zh-CN"/>
        </w:rPr>
        <w:t>0.37</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减少</w:t>
      </w:r>
      <w:r>
        <w:rPr>
          <w:rFonts w:hint="eastAsia" w:ascii="仿宋_GB2312" w:eastAsia="仿宋_GB2312" w:cs="仿宋_GB2312"/>
          <w:kern w:val="0"/>
          <w:sz w:val="32"/>
          <w:szCs w:val="32"/>
          <w:highlight w:val="none"/>
          <w:lang w:val="en-US" w:eastAsia="zh-CN"/>
        </w:rPr>
        <w:t>1.64</w:t>
      </w:r>
      <w:r>
        <w:rPr>
          <w:rFonts w:hint="eastAsia"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lang w:eastAsia="zh-CN"/>
        </w:rPr>
        <w:t>减少</w:t>
      </w:r>
      <w:r>
        <w:rPr>
          <w:rFonts w:hint="eastAsia" w:ascii="仿宋_GB2312" w:eastAsia="仿宋_GB2312" w:cs="仿宋_GB2312"/>
          <w:kern w:val="0"/>
          <w:sz w:val="32"/>
          <w:szCs w:val="32"/>
          <w:highlight w:val="none"/>
        </w:rPr>
        <w:t>原因：水电、办公等各项经费费用</w:t>
      </w:r>
      <w:r>
        <w:rPr>
          <w:rFonts w:hint="eastAsia" w:ascii="仿宋_GB2312" w:eastAsia="仿宋_GB2312" w:cs="仿宋_GB2312"/>
          <w:kern w:val="0"/>
          <w:sz w:val="32"/>
          <w:szCs w:val="32"/>
          <w:highlight w:val="none"/>
          <w:lang w:eastAsia="zh-CN"/>
        </w:rPr>
        <w:t>减少</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2019</w:t>
      </w:r>
      <w:r>
        <w:rPr>
          <w:rFonts w:hint="eastAsia" w:ascii="仿宋_GB2312" w:eastAsia="仿宋_GB2312" w:cs="仿宋_GB2312"/>
          <w:kern w:val="0"/>
          <w:sz w:val="32"/>
          <w:szCs w:val="32"/>
        </w:rPr>
        <w:t>年度部门政府采购支出总额0万元，其中：货物支出0万元、工程支出0万元、服务支出0万元。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（三）国有资产占用情况。截至年末部门共有车辆0辆，其中：公务用车0辆；执法执勤用车0辆；专业技术用车0辆；单价50万元以上通用设备0台（套），单价100 万元以上专用设备0台（套）。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第四部分：名词解释</w:t>
      </w:r>
    </w:p>
    <w:p>
      <w:pPr>
        <w:ind w:firstLine="645"/>
        <w:rPr>
          <w:rFonts w:hint="eastAsia" w:ascii="仿宋_GB2312" w:eastAsia="仿宋_GB2312"/>
          <w:b/>
          <w:sz w:val="32"/>
          <w:szCs w:val="32"/>
        </w:rPr>
      </w:pPr>
      <w:bookmarkStart w:id="18" w:name="_GoBack"/>
      <w:bookmarkEnd w:id="18"/>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
        <w:rPr>
          <w:rFonts w:hint="eastAsia" w:ascii="仿宋_GB2312" w:eastAsia="仿宋_GB2312"/>
          <w:bCs/>
          <w:sz w:val="32"/>
          <w:szCs w:val="32"/>
        </w:rPr>
        <w:t xml:space="preserve">      十三、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5" o:spid="_x0000_s4097" o:spt="202" type="#_x0000_t202" style="position:absolute;left:0pt;margin-left:411.5pt;margin-top:536.2pt;height:10.3pt;width:24.25pt;mso-position-horizontal-relative:page;mso-position-vertical-relative:page;mso-wrap-style:none;z-index:-440400896;mso-width-relative:page;mso-height-relative:page;" filled="f" stroked="f" coordsize="21600,21600" o:gfxdata="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sXNll1wAAAA0BAAAPAAAAAAAAAAEAIAAAACIAAABkcnMvZG93&#10;bnJldi54bWxQSwECFAAUAAAACACHTuJA9L2LII8BAAAjAwAADgAAAAAAAAABACAAAAAmAQAAZHJz&#10;L2Uyb0RvYy54bWxQSwUGAAAAAAYABgBZAQAAJwUAAAAA&#10;">
          <v:path/>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lang w:val="en-US" w:eastAsia="en-US" w:bidi="en-US"/>
                  </w:rPr>
                  <w:t>#</w:t>
                </w:r>
                <w:r>
                  <w:rPr>
                    <w:rFonts w:ascii="宋体" w:hAnsi="宋体" w:eastAsia="宋体" w:cs="宋体"/>
                    <w:color w:val="000000"/>
                    <w:spacing w:val="0"/>
                    <w:w w:val="100"/>
                    <w:position w:val="0"/>
                    <w:sz w:val="32"/>
                    <w:szCs w:val="32"/>
                    <w:lang w:val="en-US" w:eastAsia="en-US" w:bidi="en-US"/>
                  </w:rPr>
                  <w:fldChar w:fldCharType="end"/>
                </w:r>
                <w:r>
                  <w:rPr>
                    <w:rFonts w:ascii="宋体" w:hAnsi="宋体" w:eastAsia="宋体" w:cs="宋体"/>
                    <w:color w:val="000000"/>
                    <w:spacing w:val="0"/>
                    <w:w w:val="100"/>
                    <w:position w:val="0"/>
                    <w:sz w:val="32"/>
                    <w:szCs w:val="3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7" o:spid="_x0000_s4098" o:spt="202" type="#_x0000_t202" style="position:absolute;left:0pt;margin-left:410pt;margin-top:541.1pt;height:10.55pt;width:24.25pt;mso-position-horizontal-relative:page;mso-position-vertical-relative:page;mso-wrap-style:none;z-index:-440400896;mso-width-relative:page;mso-height-relative:page;" filled="f" stroked="f" coordsize="21600,21600" o:gfxdata="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nJHkw1gAAAA0BAAAPAAAAAAAAAAEAIAAAACIAAABkcnMv&#10;ZG93bnJldi54bWxQSwECFAAUAAAACACHTuJAgbXEKJMBAAAjAwAADgAAAAAAAAABACAAAAAlAQAA&#10;ZHJzL2Uyb0RvYy54bWxQSwUGAAAAAAYABgBZAQAAKgUAAAAA&#10;">
          <v:path/>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 xml:space="preserve">  </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9" o:spid="_x0000_s4099" o:spt="202" type="#_x0000_t202" style="position:absolute;left:0pt;margin-left:289.05pt;margin-top:789.75pt;height:10.55pt;width:13.2pt;mso-position-horizontal-relative:page;mso-position-vertical-relative:page;mso-wrap-style:none;z-index:-440400896;mso-width-relative:page;mso-height-relative:page;" filled="f" stroked="f" coordsize="21600,21600" o:gfxdata="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ETV9dgAAAANAQAADwAAAAAAAAABACAAAAAiAAAAZHJzL2Rv&#10;d25yZXYueG1sUEsBAhQAFAAAAAgAh07iQNJdKwCPAQAAIwMAAA4AAAAAAAAAAQAgAAAAJwEAAGRy&#10;cy9lMm9Eb2MueG1sUEsFBgAAAAAGAAYAWQEAACgFAAAAAA==&#10;">
          <v:path/>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1" o:spid="_x0000_s4100" o:spt="202" type="#_x0000_t202" style="position:absolute;left:0pt;margin-left:297.65pt;margin-top:778.85pt;height:8.15pt;width:29.3pt;mso-position-horizontal-relative:page;mso-position-vertical-relative:page;mso-wrap-style:none;z-index:-440400896;mso-width-relative:page;mso-height-relative:page;" filled="f" stroked="f" coordsize="21600,21600" o:gfxdata="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bSUn7YAAAADQEAAA8AAAAAAAAAAQAgAAAAIgAAAGRycy9kb3du&#10;cmV2LnhtbFBLAQIUABQAAAAIAIdO4kDJZpdQjQEAACMDAAAOAAAAAAAAAAEAIAAAACcBAABkcnMv&#10;ZTJvRG9jLnhtbFBLBQYAAAAABgAGAFkBAAAmBQAAAAA=&#10;">
          <v:path/>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000000"/>
                    <w:spacing w:val="0"/>
                    <w:w w:val="100"/>
                    <w:position w:val="0"/>
                    <w:sz w:val="24"/>
                    <w:szCs w:val="24"/>
                  </w:rPr>
                  <w:t xml:space="preserve">一 </w:t>
                </w:r>
                <w:r>
                  <w:fldChar w:fldCharType="begin"/>
                </w:r>
                <w:r>
                  <w:instrText xml:space="preserve"> PAGE \* MERGEFORMAT </w:instrText>
                </w:r>
                <w:r>
                  <w:fldChar w:fldCharType="separate"/>
                </w:r>
                <w:r>
                  <w:rPr>
                    <w:rFonts w:ascii="宋体" w:hAnsi="宋体" w:eastAsia="宋体" w:cs="宋体"/>
                    <w:color w:val="000000"/>
                    <w:spacing w:val="0"/>
                    <w:w w:val="100"/>
                    <w:position w:val="0"/>
                    <w:sz w:val="22"/>
                    <w:szCs w:val="22"/>
                  </w:rPr>
                  <w:t>#</w:t>
                </w:r>
                <w:r>
                  <w:rPr>
                    <w:rFonts w:ascii="宋体" w:hAnsi="宋体" w:eastAsia="宋体" w:cs="宋体"/>
                    <w:color w:val="000000"/>
                    <w:spacing w:val="0"/>
                    <w:w w:val="100"/>
                    <w:position w:val="0"/>
                    <w:sz w:val="22"/>
                    <w:szCs w:val="22"/>
                  </w:rPr>
                  <w:fldChar w:fldCharType="end"/>
                </w:r>
                <w:r>
                  <w:rPr>
                    <w:rFonts w:ascii="宋体" w:hAnsi="宋体" w:eastAsia="宋体" w:cs="宋体"/>
                    <w:color w:val="000000"/>
                    <w:spacing w:val="0"/>
                    <w:w w:val="100"/>
                    <w:position w:val="0"/>
                    <w:sz w:val="22"/>
                    <w:szCs w:val="22"/>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_x0000_s4101" o:spid="_x0000_s4101" o:spt="202" type="#_x0000_t202" style="position:absolute;left:0pt;margin-left:297.65pt;margin-top:778.85pt;height:8.15pt;width:29.3pt;mso-position-horizontal-relative:page;mso-position-vertical-relative:page;mso-wrap-style:none;z-index:-440400896;mso-width-relative:page;mso-height-relative:page;" filled="f" stroked="f" coordsize="21600,21600" o:gfxdata="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bSUn7YAAAADQEAAA8AAAAAAAAAAQAgAAAAIgAAAGRycy9kb3du&#10;cmV2LnhtbFBLAQIUABQAAAAIAIdO4kDJZpdQjQEAACMDAAAOAAAAAAAAAAEAIAAAACcBAABkcnMv&#10;ZTJvRG9jLnhtbFBLBQYAAAAABgAGAFkBAAAmBQAAAAA=&#10;">
          <v:path/>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000000"/>
                    <w:spacing w:val="0"/>
                    <w:w w:val="100"/>
                    <w:position w:val="0"/>
                    <w:sz w:val="24"/>
                    <w:szCs w:val="24"/>
                  </w:rPr>
                  <w:t xml:space="preserve">一 </w:t>
                </w:r>
                <w:r>
                  <w:fldChar w:fldCharType="begin"/>
                </w:r>
                <w:r>
                  <w:instrText xml:space="preserve"> PAGE \* MERGEFORMAT </w:instrText>
                </w:r>
                <w:r>
                  <w:fldChar w:fldCharType="separate"/>
                </w:r>
                <w:r>
                  <w:rPr>
                    <w:rFonts w:ascii="宋体" w:hAnsi="宋体" w:eastAsia="宋体" w:cs="宋体"/>
                    <w:color w:val="000000"/>
                    <w:spacing w:val="0"/>
                    <w:w w:val="100"/>
                    <w:position w:val="0"/>
                    <w:sz w:val="22"/>
                    <w:szCs w:val="22"/>
                  </w:rPr>
                  <w:t>#</w:t>
                </w:r>
                <w:r>
                  <w:rPr>
                    <w:rFonts w:ascii="宋体" w:hAnsi="宋体" w:eastAsia="宋体" w:cs="宋体"/>
                    <w:color w:val="000000"/>
                    <w:spacing w:val="0"/>
                    <w:w w:val="100"/>
                    <w:position w:val="0"/>
                    <w:sz w:val="22"/>
                    <w:szCs w:val="22"/>
                  </w:rPr>
                  <w:fldChar w:fldCharType="end"/>
                </w:r>
                <w:r>
                  <w:rPr>
                    <w:rFonts w:ascii="宋体" w:hAnsi="宋体" w:eastAsia="宋体" w:cs="宋体"/>
                    <w:color w:val="000000"/>
                    <w:spacing w:val="0"/>
                    <w:w w:val="100"/>
                    <w:position w:val="0"/>
                    <w:sz w:val="22"/>
                    <w:szCs w:val="22"/>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9</w:t>
    </w:r>
    <w:r>
      <w:rPr>
        <w:sz w:val="30"/>
        <w:szCs w:val="30"/>
      </w:rPr>
      <w:fldChar w:fldCharType="end"/>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A5072"/>
    <w:multiLevelType w:val="singleLevel"/>
    <w:tmpl w:val="510A507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00FB"/>
    <w:rsid w:val="00010817"/>
    <w:rsid w:val="00012448"/>
    <w:rsid w:val="00023335"/>
    <w:rsid w:val="00024DBF"/>
    <w:rsid w:val="0003247F"/>
    <w:rsid w:val="000432CB"/>
    <w:rsid w:val="00044CAF"/>
    <w:rsid w:val="00064906"/>
    <w:rsid w:val="000A4229"/>
    <w:rsid w:val="000A5CFB"/>
    <w:rsid w:val="000B1CC5"/>
    <w:rsid w:val="000B362D"/>
    <w:rsid w:val="000B38C8"/>
    <w:rsid w:val="000E6CD6"/>
    <w:rsid w:val="000E7C9B"/>
    <w:rsid w:val="001100FB"/>
    <w:rsid w:val="00160E53"/>
    <w:rsid w:val="001677DA"/>
    <w:rsid w:val="00171292"/>
    <w:rsid w:val="00175613"/>
    <w:rsid w:val="00190A75"/>
    <w:rsid w:val="001A5C47"/>
    <w:rsid w:val="001A700E"/>
    <w:rsid w:val="001B283B"/>
    <w:rsid w:val="001C2043"/>
    <w:rsid w:val="001C23CE"/>
    <w:rsid w:val="001F52C5"/>
    <w:rsid w:val="00232211"/>
    <w:rsid w:val="0023281F"/>
    <w:rsid w:val="0024110C"/>
    <w:rsid w:val="00247DE6"/>
    <w:rsid w:val="002521B1"/>
    <w:rsid w:val="002546F5"/>
    <w:rsid w:val="00256607"/>
    <w:rsid w:val="00265FE9"/>
    <w:rsid w:val="00267E60"/>
    <w:rsid w:val="00270C20"/>
    <w:rsid w:val="0027576F"/>
    <w:rsid w:val="002B48E5"/>
    <w:rsid w:val="002D2A32"/>
    <w:rsid w:val="002E6C17"/>
    <w:rsid w:val="00337ED0"/>
    <w:rsid w:val="0034773B"/>
    <w:rsid w:val="00395776"/>
    <w:rsid w:val="003B3410"/>
    <w:rsid w:val="003C712B"/>
    <w:rsid w:val="003F6D3C"/>
    <w:rsid w:val="004223D0"/>
    <w:rsid w:val="00455523"/>
    <w:rsid w:val="004D1289"/>
    <w:rsid w:val="004E2C5F"/>
    <w:rsid w:val="004E4FEA"/>
    <w:rsid w:val="004F4DFF"/>
    <w:rsid w:val="004F7189"/>
    <w:rsid w:val="0056476A"/>
    <w:rsid w:val="005765B0"/>
    <w:rsid w:val="00585BCB"/>
    <w:rsid w:val="005C1E4F"/>
    <w:rsid w:val="005C6586"/>
    <w:rsid w:val="00616334"/>
    <w:rsid w:val="00623EE7"/>
    <w:rsid w:val="00634A6A"/>
    <w:rsid w:val="006353EE"/>
    <w:rsid w:val="00657CED"/>
    <w:rsid w:val="00660B37"/>
    <w:rsid w:val="0067018F"/>
    <w:rsid w:val="0067117C"/>
    <w:rsid w:val="00675A10"/>
    <w:rsid w:val="006C7F93"/>
    <w:rsid w:val="006D7A1F"/>
    <w:rsid w:val="006F223C"/>
    <w:rsid w:val="007120E5"/>
    <w:rsid w:val="00732A94"/>
    <w:rsid w:val="00733A0E"/>
    <w:rsid w:val="007432C8"/>
    <w:rsid w:val="00763259"/>
    <w:rsid w:val="00776847"/>
    <w:rsid w:val="00795C40"/>
    <w:rsid w:val="0079728B"/>
    <w:rsid w:val="007A3D81"/>
    <w:rsid w:val="007A6325"/>
    <w:rsid w:val="007B74E9"/>
    <w:rsid w:val="007C6E66"/>
    <w:rsid w:val="007D4852"/>
    <w:rsid w:val="007D67F6"/>
    <w:rsid w:val="007F3528"/>
    <w:rsid w:val="007F49D7"/>
    <w:rsid w:val="00801D23"/>
    <w:rsid w:val="00815890"/>
    <w:rsid w:val="008211AD"/>
    <w:rsid w:val="00832224"/>
    <w:rsid w:val="0083298B"/>
    <w:rsid w:val="0084578A"/>
    <w:rsid w:val="00856A6C"/>
    <w:rsid w:val="00861B0B"/>
    <w:rsid w:val="00874623"/>
    <w:rsid w:val="00876A0C"/>
    <w:rsid w:val="008B3D0F"/>
    <w:rsid w:val="008E0E6E"/>
    <w:rsid w:val="00944C34"/>
    <w:rsid w:val="00964592"/>
    <w:rsid w:val="00970D99"/>
    <w:rsid w:val="009766F9"/>
    <w:rsid w:val="009C0553"/>
    <w:rsid w:val="009D0E47"/>
    <w:rsid w:val="00A062D0"/>
    <w:rsid w:val="00A3002E"/>
    <w:rsid w:val="00A57F7D"/>
    <w:rsid w:val="00A92E0E"/>
    <w:rsid w:val="00AA0910"/>
    <w:rsid w:val="00AA152C"/>
    <w:rsid w:val="00AB47A8"/>
    <w:rsid w:val="00AC6144"/>
    <w:rsid w:val="00AD4486"/>
    <w:rsid w:val="00AF6BCA"/>
    <w:rsid w:val="00B10D11"/>
    <w:rsid w:val="00B12DEE"/>
    <w:rsid w:val="00B16881"/>
    <w:rsid w:val="00B42726"/>
    <w:rsid w:val="00B478AD"/>
    <w:rsid w:val="00B612D0"/>
    <w:rsid w:val="00B7077D"/>
    <w:rsid w:val="00B80D9C"/>
    <w:rsid w:val="00B91F1D"/>
    <w:rsid w:val="00B95CBD"/>
    <w:rsid w:val="00BB0487"/>
    <w:rsid w:val="00BD55F9"/>
    <w:rsid w:val="00BF2435"/>
    <w:rsid w:val="00C015BD"/>
    <w:rsid w:val="00C03573"/>
    <w:rsid w:val="00C03FDD"/>
    <w:rsid w:val="00C0436E"/>
    <w:rsid w:val="00C60D33"/>
    <w:rsid w:val="00C715DD"/>
    <w:rsid w:val="00C96780"/>
    <w:rsid w:val="00CC3B4E"/>
    <w:rsid w:val="00CE5DED"/>
    <w:rsid w:val="00D035C7"/>
    <w:rsid w:val="00D5722B"/>
    <w:rsid w:val="00D6518B"/>
    <w:rsid w:val="00D7434C"/>
    <w:rsid w:val="00DB31E5"/>
    <w:rsid w:val="00DE269D"/>
    <w:rsid w:val="00E233E7"/>
    <w:rsid w:val="00E46825"/>
    <w:rsid w:val="00E47170"/>
    <w:rsid w:val="00ED616C"/>
    <w:rsid w:val="00EE5567"/>
    <w:rsid w:val="00F527BC"/>
    <w:rsid w:val="00F6675E"/>
    <w:rsid w:val="00F743CF"/>
    <w:rsid w:val="00F84433"/>
    <w:rsid w:val="00F90B02"/>
    <w:rsid w:val="00F932D5"/>
    <w:rsid w:val="00F964A8"/>
    <w:rsid w:val="00FB0BA7"/>
    <w:rsid w:val="00FB60EC"/>
    <w:rsid w:val="00FD4225"/>
    <w:rsid w:val="00FD7657"/>
    <w:rsid w:val="00FE60D8"/>
    <w:rsid w:val="02B47366"/>
    <w:rsid w:val="04F631AF"/>
    <w:rsid w:val="07D257D6"/>
    <w:rsid w:val="09A315A5"/>
    <w:rsid w:val="237929CD"/>
    <w:rsid w:val="295134C2"/>
    <w:rsid w:val="2D361C69"/>
    <w:rsid w:val="339C07B8"/>
    <w:rsid w:val="397D7563"/>
    <w:rsid w:val="413A2A06"/>
    <w:rsid w:val="4D824021"/>
    <w:rsid w:val="4EFD7D6C"/>
    <w:rsid w:val="54315756"/>
    <w:rsid w:val="5B5331E5"/>
    <w:rsid w:val="61A73AB9"/>
    <w:rsid w:val="63340171"/>
    <w:rsid w:val="649A58AB"/>
    <w:rsid w:val="7190020B"/>
    <w:rsid w:val="736D6A23"/>
    <w:rsid w:val="74B6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0"/>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semiHidden/>
    <w:qFormat/>
    <w:uiPriority w:val="0"/>
    <w:rPr>
      <w:rFonts w:ascii="Times New Roman" w:hAnsi="Times New Roman" w:eastAsia="宋体" w:cs="Times New Roman"/>
      <w:sz w:val="18"/>
      <w:szCs w:val="18"/>
    </w:rPr>
  </w:style>
  <w:style w:type="paragraph" w:customStyle="1" w:styleId="11">
    <w:name w:val="正文1"/>
    <w:basedOn w:val="1"/>
    <w:qFormat/>
    <w:uiPriority w:val="0"/>
    <w:pPr>
      <w:widowControl/>
    </w:pPr>
    <w:rPr>
      <w:rFonts w:eastAsia="Times New Roman"/>
      <w:kern w:val="0"/>
      <w:szCs w:val="20"/>
      <w:lang w:val="zh-CN"/>
    </w:rPr>
  </w:style>
  <w:style w:type="paragraph" w:customStyle="1" w:styleId="12">
    <w:name w:val="Heading #3|1"/>
    <w:basedOn w:val="1"/>
    <w:qFormat/>
    <w:uiPriority w:val="0"/>
    <w:pPr>
      <w:widowControl w:val="0"/>
      <w:shd w:val="clear" w:color="auto" w:fill="auto"/>
      <w:spacing w:after="30"/>
      <w:jc w:val="center"/>
      <w:outlineLvl w:val="2"/>
    </w:pPr>
    <w:rPr>
      <w:rFonts w:ascii="宋体" w:hAnsi="宋体" w:eastAsia="宋体" w:cs="宋体"/>
      <w:b/>
      <w:bCs/>
      <w:sz w:val="30"/>
      <w:szCs w:val="30"/>
      <w:u w:val="none"/>
      <w:shd w:val="clear" w:color="auto" w:fill="auto"/>
      <w:lang w:val="zh-TW" w:eastAsia="zh-TW" w:bidi="zh-TW"/>
    </w:rPr>
  </w:style>
  <w:style w:type="paragraph" w:customStyle="1" w:styleId="13">
    <w:name w:val="Table caption|1"/>
    <w:basedOn w:val="1"/>
    <w:qFormat/>
    <w:uiPriority w:val="0"/>
    <w:pPr>
      <w:widowControl w:val="0"/>
      <w:shd w:val="clear" w:color="auto" w:fill="auto"/>
      <w:spacing w:after="20"/>
      <w:ind w:firstLine="220"/>
    </w:pPr>
    <w:rPr>
      <w:rFonts w:ascii="宋体" w:hAnsi="宋体" w:eastAsia="宋体" w:cs="宋体"/>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694</Words>
  <Characters>3958</Characters>
  <Lines>32</Lines>
  <Paragraphs>9</Paragraphs>
  <TotalTime>16</TotalTime>
  <ScaleCrop>false</ScaleCrop>
  <LinksUpToDate>false</LinksUpToDate>
  <CharactersWithSpaces>4643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2018-07-24T02:46:00Z</dcterms:created>
  <dc:creator>USER-</dc:creator>
  <cp:lastModifiedBy>lenovo</cp:lastModifiedBy>
  <dcterms:modified xsi:type="dcterms:W3CDTF">2020-08-11T03:17:44Z</dcterms:modified>
  <cp:revision>887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