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u w:val="none"/>
          <w:lang w:eastAsia="zh-CN"/>
        </w:rPr>
        <w:t>柳州市</w:t>
      </w:r>
      <w:r>
        <w:rPr>
          <w:rFonts w:hint="eastAsia" w:ascii="黑体" w:hAnsi="黑体" w:eastAsia="黑体"/>
          <w:bCs/>
          <w:color w:val="000000"/>
          <w:sz w:val="52"/>
          <w:szCs w:val="52"/>
          <w:u w:val="none"/>
          <w:lang w:eastAsia="zh-CN"/>
        </w:rPr>
        <w:t>发展和改革委员会</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柳州市发展和改革委员会</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柳州市发展</w:t>
      </w:r>
      <w:r>
        <w:rPr>
          <w:rFonts w:hint="eastAsia" w:ascii="仿宋_GB2312" w:hAnsi="黑体" w:eastAsia="仿宋_GB2312"/>
          <w:b/>
          <w:bCs/>
          <w:color w:val="000000"/>
          <w:sz w:val="32"/>
          <w:szCs w:val="32"/>
          <w:lang w:val="en-US" w:eastAsia="zh-CN"/>
        </w:rPr>
        <w:t>和</w:t>
      </w:r>
      <w:r>
        <w:rPr>
          <w:rFonts w:hint="eastAsia" w:ascii="仿宋_GB2312" w:hAnsi="黑体" w:eastAsia="仿宋_GB2312"/>
          <w:b/>
          <w:bCs/>
          <w:color w:val="000000"/>
          <w:sz w:val="32"/>
          <w:szCs w:val="32"/>
        </w:rPr>
        <w:t>改革委员会</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柳州市发展</w:t>
      </w:r>
      <w:r>
        <w:rPr>
          <w:rFonts w:hint="eastAsia" w:ascii="仿宋_GB2312" w:hAnsi="黑体" w:eastAsia="仿宋_GB2312"/>
          <w:b/>
          <w:bCs/>
          <w:color w:val="000000"/>
          <w:sz w:val="32"/>
          <w:szCs w:val="32"/>
          <w:lang w:val="en-US" w:eastAsia="zh-CN"/>
        </w:rPr>
        <w:t>和</w:t>
      </w:r>
      <w:r>
        <w:rPr>
          <w:rFonts w:hint="eastAsia" w:ascii="仿宋_GB2312" w:hAnsi="黑体" w:eastAsia="仿宋_GB2312"/>
          <w:b/>
          <w:bCs/>
          <w:color w:val="000000"/>
          <w:sz w:val="32"/>
          <w:szCs w:val="32"/>
        </w:rPr>
        <w:t>改革委员会</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柳州市发展和改革委员会</w:t>
      </w:r>
      <w:r>
        <w:rPr>
          <w:rFonts w:hint="eastAsia" w:ascii="仿宋_GB2312" w:eastAsia="仿宋_GB2312"/>
          <w:b/>
          <w:sz w:val="32"/>
          <w:szCs w:val="32"/>
        </w:rPr>
        <w:t>概况</w:t>
      </w:r>
    </w:p>
    <w:p>
      <w:pPr>
        <w:numPr>
          <w:ilvl w:val="0"/>
          <w:numId w:val="1"/>
        </w:numPr>
        <w:ind w:left="-646" w:leftChars="0" w:firstLine="646" w:firstLineChars="0"/>
        <w:rPr>
          <w:rFonts w:hint="eastAsia" w:ascii="仿宋_GB2312" w:eastAsia="仿宋_GB2312"/>
          <w:sz w:val="32"/>
          <w:szCs w:val="32"/>
        </w:rPr>
      </w:pPr>
      <w:r>
        <w:rPr>
          <w:rFonts w:hint="eastAsia" w:ascii="仿宋_GB2312" w:eastAsia="仿宋_GB2312"/>
          <w:sz w:val="32"/>
          <w:szCs w:val="32"/>
        </w:rPr>
        <w:t>主要职能</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贯彻执行国家、自治区国民经济和社会发展战略，拟订并组织实施全市国民经济和社会发展中长期规划。牵头组织全市统一规划体系建设。起草全市国民经济和社会发展等有关规范性文件。</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提出加快建设全市现代化经济体系、推动高质量发展的总体目标、重大任务以及相关政策建议。组织开展重大规划、重大政策、重大项目实施等的评估督导，提出相关调整建议。</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统筹提出全市国民经济和社会发展主要目标，监测预测预警全市宏观经济和社会发展趋势，提出宏观调控政策建议。协调解决经济运行中的重大问题。</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指导推进和综合协调全市经济体制改革有关工作，提出相关改革建议。组织推进供给侧结构性改革。协调推进产权制度和要素市场化配置改革。推动完善基本经济制度和现代市场体系建设。</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研究提出利用外资和境外投资的规划、总量平衡和结构优化政策建议。组织拟订柳州市参与“一带一路”建设的重大政策，统筹协调、研究解决相关重大事项和重大问题。</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负责全市投资综合管理，拟订固定资产投资总规模结构调控目标和政策措施。按分工安排全市财政性基本建设资金，按规定权限审批、核准、审核、备案重要项目。规划全市生产力布局。拟订并推动落实鼓励和引导民间投资的政策措施。</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规划全市重大项目建设布局，组织提出加强重大项目管理政策建议并监督实施。协调重大项目相关问题。衔接平衡涉及重大项目专项规划，按相关程序初审转报重大项目。</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推进落实区域协调发展战略、新型城镇化战略和重大政策，组织拟订相关规划和政策。统筹推进实施国家和自治区重大区域发展战略，促进高水平开放、高质量发展。组织编制并推动实施新型城镇化规划。推进实施国家西部开发战略、规划及重大政策。</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组织拟订全市综合性产业政策。协调一二三产业发展重大问题并统筹衔接相关发展规划和重大政策。协调推进能源和交通运输等重大基础设施建设发展，组织拟订并推动实施服务业及现代物流业规划和政策。</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推动实施创新驱动发展战略。会同相关部门拟订推进创新创业的规划和政策，提出创新发展和培育经济发展新动能的政策。组织拟订并推动实施高技术产业和战略性新兴产业发展规划政策，协调产业升级等方面的重大问题。</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跟踪研判涉及全市经济安全、生态安全、资源安全、科技安全、社会安全等各类风险隐患，提出相关工作建议。落实全市重要商品总量平衡和宏观调控相关工作。会同有关部门拟订全市储备物资品种目录、总体发展规划。</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负责全市社会发展与国民经济发展的政策衔接，协调有关重大问题。牵头开展社会信用体系建设。</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推进实施可持续发展战略，推动生态文明建设和改革，协调生态环境保护与修复、能源资源节约和综合利用等工作。</w:t>
      </w:r>
      <w:r>
        <w:rPr>
          <w:rFonts w:hint="eastAsia" w:ascii="仿宋_GB2312" w:hAnsi="仿宋_GB2312" w:eastAsia="仿宋_GB2312" w:cs="仿宋_GB2312"/>
          <w:color w:val="333333"/>
          <w:sz w:val="32"/>
          <w:szCs w:val="32"/>
          <w:shd w:val="clear" w:color="auto" w:fill="FFFFFF"/>
          <w:lang w:val="en-US" w:eastAsia="zh-CN"/>
        </w:rPr>
        <w:t xml:space="preserve">  </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牵头推进全市优化营商环境工作，研究提出优化营商环境重大政策建议，统筹协调优化营商环境重大事项。综合研判社会消费变动趋势，拟订实施促进消费的综合性政策措施。</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组织拟订并实施全市革命老区、少数民族地区、石漠化片区、贫困地区发展规划和政策。起草全市易地扶贫搬迁工作规范性文件。组织拟订并实施全市易地扶贫搬迁移民工作中长期规划计划、安置规划及投资计划。</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拟订并组织实施有关价格政策，提出全市年度价格总水平调控目标及价格调控措施并组织实施。监测、预测全市价格总水平，以及重要商品、服务价格水平和变动趋势。承担行政事业性收费管理工作。</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研究能源开发和利用，提出全市综合能源发展规划和重大政策并组织实施，完善对能源产业的管理，推进能源结构性调整，拟订能源行业发展规划。规划能源重大项目布局，提出能源消费控制目标、任务并组织实施。</w:t>
      </w:r>
    </w:p>
    <w:p>
      <w:pPr>
        <w:numPr>
          <w:ilvl w:val="0"/>
          <w:numId w:val="2"/>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负责起草全市粮食流通和物资储备管理的规范性文件。拟订柳州市储备总体发展规划和品种目录，组织实施储备物资的收储、轮换、日常管理等工作。负责全市粮食流通、加工行业安全生产工作的监督管理。</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（十九）完成市委、市政府交办的其他任务。</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156" w:after="156" w:line="620" w:lineRule="exact"/>
        <w:jc w:val="center"/>
        <w:rPr>
          <w:rFonts w:hint="eastAsia" w:ascii="仿宋_GB2312" w:hAnsi="黑体" w:eastAsia="仿宋_GB2312" w:cs="黑体"/>
          <w:b/>
          <w:bCs/>
          <w:kern w:val="0"/>
          <w:sz w:val="32"/>
          <w:szCs w:val="32"/>
          <w:lang w:val="en-US" w:eastAsia="zh-CN"/>
        </w:rPr>
      </w:pPr>
      <w:r>
        <w:rPr>
          <w:rFonts w:hint="eastAsia" w:ascii="仿宋_GB2312" w:hAnsi="黑体" w:eastAsia="仿宋_GB2312" w:cs="黑体"/>
          <w:b/>
          <w:bCs/>
          <w:kern w:val="0"/>
          <w:sz w:val="32"/>
          <w:szCs w:val="32"/>
        </w:rPr>
        <w:t>机构和人员情况表</w:t>
      </w:r>
      <w:r>
        <w:rPr>
          <w:rFonts w:hint="eastAsia" w:ascii="仿宋_GB2312" w:hAnsi="黑体" w:eastAsia="仿宋_GB2312" w:cs="黑体"/>
          <w:b/>
          <w:bCs/>
          <w:kern w:val="0"/>
          <w:sz w:val="32"/>
          <w:szCs w:val="32"/>
          <w:lang w:val="en-US" w:eastAsia="zh-CN"/>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right="315"/>
        <w:jc w:val="right"/>
        <w:rPr>
          <w:rFonts w:ascii="宋体" w:hAnsi="宋体" w:cs="宋体"/>
          <w:kern w:val="0"/>
          <w:szCs w:val="21"/>
        </w:rPr>
      </w:pPr>
      <w:r>
        <w:rPr>
          <w:rFonts w:hint="eastAsia" w:ascii="宋体" w:hAnsi="宋体" w:cs="宋体"/>
          <w:kern w:val="0"/>
          <w:szCs w:val="21"/>
        </w:rPr>
        <w:t>单位：人</w:t>
      </w:r>
    </w:p>
    <w:tbl>
      <w:tblPr>
        <w:tblStyle w:val="5"/>
        <w:tblW w:w="7683" w:type="dxa"/>
        <w:jc w:val="center"/>
        <w:tblLayout w:type="fixed"/>
        <w:tblCellMar>
          <w:top w:w="20" w:type="dxa"/>
          <w:left w:w="30" w:type="dxa"/>
          <w:bottom w:w="0" w:type="dxa"/>
          <w:right w:w="20" w:type="dxa"/>
        </w:tblCellMar>
      </w:tblPr>
      <w:tblGrid>
        <w:gridCol w:w="2581"/>
        <w:gridCol w:w="935"/>
        <w:gridCol w:w="612"/>
        <w:gridCol w:w="828"/>
        <w:gridCol w:w="799"/>
        <w:gridCol w:w="623"/>
        <w:gridCol w:w="655"/>
        <w:gridCol w:w="650"/>
      </w:tblGrid>
      <w:tr>
        <w:tblPrEx>
          <w:tblCellMar>
            <w:top w:w="20" w:type="dxa"/>
            <w:left w:w="30" w:type="dxa"/>
            <w:bottom w:w="0" w:type="dxa"/>
            <w:right w:w="20" w:type="dxa"/>
          </w:tblCellMar>
        </w:tblPrEx>
        <w:trPr>
          <w:trHeight w:val="227" w:hRule="atLeast"/>
          <w:jc w:val="center"/>
        </w:trPr>
        <w:tc>
          <w:tcPr>
            <w:tcW w:w="2581" w:type="dxa"/>
            <w:tcBorders>
              <w:top w:val="single" w:color="auto" w:sz="12" w:space="0"/>
              <w:left w:val="single" w:color="auto" w:sz="12" w:space="0"/>
              <w:bottom w:val="single" w:color="auto" w:sz="4" w:space="0"/>
              <w:right w:val="single" w:color="auto" w:sz="4" w:space="0"/>
            </w:tcBorders>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ascii="宋体" w:hAnsi="宋体" w:cs="宋体"/>
                <w:kern w:val="0"/>
                <w:sz w:val="24"/>
                <w:szCs w:val="24"/>
              </w:rPr>
            </w:pPr>
            <w:r>
              <w:rPr>
                <w:rFonts w:hint="eastAsia" w:ascii="宋体" w:hAnsi="宋体" w:cs="宋体"/>
                <w:kern w:val="0"/>
                <w:sz w:val="24"/>
                <w:szCs w:val="24"/>
              </w:rPr>
              <w:t>单位名称</w:t>
            </w:r>
          </w:p>
        </w:tc>
        <w:tc>
          <w:tcPr>
            <w:tcW w:w="935" w:type="dxa"/>
            <w:tcBorders>
              <w:top w:val="single" w:color="auto" w:sz="12" w:space="0"/>
              <w:left w:val="nil"/>
              <w:bottom w:val="single" w:color="auto" w:sz="4" w:space="0"/>
              <w:right w:val="single" w:color="auto" w:sz="4" w:space="0"/>
            </w:tcBorders>
            <w:tcMar>
              <w:left w:w="2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ascii="宋体" w:hAnsi="宋体" w:cs="宋体"/>
                <w:kern w:val="0"/>
                <w:sz w:val="24"/>
                <w:szCs w:val="24"/>
              </w:rPr>
            </w:pPr>
            <w:r>
              <w:rPr>
                <w:rFonts w:hint="eastAsia" w:ascii="宋体" w:hAnsi="宋体" w:cs="宋体"/>
                <w:kern w:val="0"/>
                <w:sz w:val="24"/>
                <w:szCs w:val="24"/>
                <w:lang w:eastAsia="zh-CN"/>
              </w:rPr>
              <w:t>编制</w:t>
            </w:r>
            <w:r>
              <w:rPr>
                <w:rFonts w:hint="eastAsia" w:ascii="宋体" w:hAnsi="宋体" w:cs="宋体"/>
                <w:kern w:val="0"/>
                <w:sz w:val="24"/>
                <w:szCs w:val="24"/>
              </w:rPr>
              <w:t>性质</w:t>
            </w:r>
          </w:p>
        </w:tc>
        <w:tc>
          <w:tcPr>
            <w:tcW w:w="612" w:type="dxa"/>
            <w:tcBorders>
              <w:top w:val="single" w:color="auto" w:sz="12" w:space="0"/>
              <w:left w:val="nil"/>
              <w:bottom w:val="single" w:color="auto" w:sz="4" w:space="0"/>
              <w:right w:val="single" w:color="auto" w:sz="4" w:space="0"/>
            </w:tcBorders>
            <w:tcMar>
              <w:left w:w="2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ascii="宋体" w:hAnsi="宋体" w:cs="宋体"/>
                <w:kern w:val="0"/>
                <w:sz w:val="24"/>
                <w:szCs w:val="24"/>
              </w:rPr>
            </w:pPr>
            <w:r>
              <w:rPr>
                <w:rFonts w:hint="eastAsia" w:ascii="宋体" w:hAnsi="宋体" w:cs="宋体"/>
                <w:kern w:val="0"/>
                <w:sz w:val="24"/>
                <w:szCs w:val="24"/>
              </w:rPr>
              <w:t>编制人数</w:t>
            </w:r>
          </w:p>
        </w:tc>
        <w:tc>
          <w:tcPr>
            <w:tcW w:w="828" w:type="dxa"/>
            <w:tcBorders>
              <w:top w:val="single" w:color="auto" w:sz="12" w:space="0"/>
              <w:left w:val="nil"/>
              <w:bottom w:val="single" w:color="auto" w:sz="4" w:space="0"/>
              <w:right w:val="single" w:color="auto" w:sz="4" w:space="0"/>
            </w:tcBorders>
            <w:tcMar>
              <w:left w:w="2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ascii="宋体" w:hAnsi="宋体" w:cs="宋体"/>
                <w:kern w:val="0"/>
                <w:sz w:val="24"/>
                <w:szCs w:val="24"/>
              </w:rPr>
            </w:pPr>
            <w:r>
              <w:rPr>
                <w:rFonts w:hint="eastAsia" w:ascii="宋体" w:hAnsi="宋体" w:cs="宋体"/>
                <w:kern w:val="0"/>
                <w:sz w:val="24"/>
                <w:szCs w:val="24"/>
              </w:rPr>
              <w:t>实有在职人数</w:t>
            </w:r>
          </w:p>
        </w:tc>
        <w:tc>
          <w:tcPr>
            <w:tcW w:w="799" w:type="dxa"/>
            <w:tcBorders>
              <w:top w:val="single" w:color="auto" w:sz="12" w:space="0"/>
              <w:left w:val="nil"/>
              <w:bottom w:val="single" w:color="auto" w:sz="4" w:space="0"/>
              <w:right w:val="single" w:color="auto" w:sz="4" w:space="0"/>
            </w:tcBorders>
            <w:tcMar>
              <w:left w:w="2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ascii="宋体" w:hAnsi="宋体" w:cs="宋体"/>
                <w:kern w:val="0"/>
                <w:sz w:val="24"/>
                <w:szCs w:val="24"/>
              </w:rPr>
            </w:pPr>
            <w:r>
              <w:rPr>
                <w:rFonts w:hint="eastAsia" w:ascii="宋体" w:hAnsi="宋体" w:cs="宋体"/>
                <w:kern w:val="0"/>
                <w:sz w:val="24"/>
                <w:szCs w:val="24"/>
              </w:rPr>
              <w:t>离休</w:t>
            </w:r>
            <w:r>
              <w:rPr>
                <w:kern w:val="0"/>
                <w:sz w:val="24"/>
                <w:szCs w:val="24"/>
              </w:rPr>
              <w:br w:type="textWrapping"/>
            </w:r>
            <w:r>
              <w:rPr>
                <w:rFonts w:hint="eastAsia" w:ascii="宋体" w:hAnsi="宋体" w:cs="宋体"/>
                <w:kern w:val="0"/>
                <w:sz w:val="24"/>
                <w:szCs w:val="24"/>
              </w:rPr>
              <w:t>人数</w:t>
            </w:r>
          </w:p>
        </w:tc>
        <w:tc>
          <w:tcPr>
            <w:tcW w:w="623" w:type="dxa"/>
            <w:tcBorders>
              <w:top w:val="single" w:color="auto" w:sz="12" w:space="0"/>
              <w:left w:val="nil"/>
              <w:bottom w:val="single" w:color="auto" w:sz="4" w:space="0"/>
              <w:right w:val="single" w:color="auto" w:sz="4" w:space="0"/>
            </w:tcBorders>
            <w:tcMar>
              <w:top w:w="0" w:type="dxa"/>
              <w:left w:w="0" w:type="dxa"/>
              <w:right w:w="1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ascii="宋体" w:hAnsi="宋体" w:cs="宋体"/>
                <w:kern w:val="0"/>
                <w:sz w:val="24"/>
                <w:szCs w:val="24"/>
              </w:rPr>
            </w:pPr>
            <w:r>
              <w:rPr>
                <w:rFonts w:hint="eastAsia" w:ascii="宋体" w:hAnsi="宋体" w:cs="宋体"/>
                <w:kern w:val="0"/>
                <w:sz w:val="24"/>
                <w:szCs w:val="24"/>
              </w:rPr>
              <w:t>退休</w:t>
            </w:r>
            <w:r>
              <w:rPr>
                <w:kern w:val="0"/>
                <w:sz w:val="24"/>
                <w:szCs w:val="24"/>
              </w:rPr>
              <w:br w:type="textWrapping"/>
            </w:r>
            <w:r>
              <w:rPr>
                <w:rFonts w:hint="eastAsia" w:ascii="宋体" w:hAnsi="宋体" w:cs="宋体"/>
                <w:kern w:val="0"/>
                <w:sz w:val="24"/>
                <w:szCs w:val="24"/>
              </w:rPr>
              <w:t>人数</w:t>
            </w:r>
          </w:p>
        </w:tc>
        <w:tc>
          <w:tcPr>
            <w:tcW w:w="655" w:type="dxa"/>
            <w:tcBorders>
              <w:top w:val="single" w:color="auto" w:sz="12" w:space="0"/>
              <w:left w:val="single" w:color="auto" w:sz="4" w:space="0"/>
              <w:bottom w:val="single" w:color="auto" w:sz="4" w:space="0"/>
              <w:right w:val="single" w:color="auto" w:sz="4" w:space="0"/>
            </w:tcBorders>
            <w:tcMar>
              <w:left w:w="2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ascii="宋体" w:hAnsi="宋体" w:cs="宋体"/>
                <w:kern w:val="0"/>
                <w:sz w:val="24"/>
                <w:szCs w:val="24"/>
              </w:rPr>
            </w:pPr>
            <w:r>
              <w:rPr>
                <w:rFonts w:hint="eastAsia" w:ascii="宋体" w:hAnsi="宋体" w:cs="宋体"/>
                <w:kern w:val="0"/>
                <w:sz w:val="24"/>
                <w:szCs w:val="24"/>
              </w:rPr>
              <w:t>聘用人数</w:t>
            </w:r>
          </w:p>
        </w:tc>
        <w:tc>
          <w:tcPr>
            <w:tcW w:w="650" w:type="dxa"/>
            <w:tcBorders>
              <w:top w:val="single" w:color="auto" w:sz="12" w:space="0"/>
              <w:left w:val="single" w:color="auto" w:sz="4" w:space="0"/>
              <w:bottom w:val="single" w:color="auto" w:sz="4" w:space="0"/>
              <w:right w:val="single" w:color="auto" w:sz="12" w:space="0"/>
            </w:tcBorders>
            <w:tcMar>
              <w:left w:w="20" w:type="dxa"/>
              <w:right w:w="3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ascii="宋体" w:hAnsi="宋体" w:cs="宋体"/>
                <w:kern w:val="0"/>
                <w:sz w:val="24"/>
                <w:szCs w:val="24"/>
              </w:rPr>
            </w:pPr>
            <w:r>
              <w:rPr>
                <w:rFonts w:hint="eastAsia" w:ascii="宋体" w:hAnsi="宋体" w:cs="宋体"/>
                <w:kern w:val="0"/>
                <w:sz w:val="24"/>
                <w:szCs w:val="24"/>
              </w:rPr>
              <w:t>遗属</w:t>
            </w:r>
            <w:r>
              <w:rPr>
                <w:kern w:val="0"/>
                <w:sz w:val="24"/>
                <w:szCs w:val="24"/>
              </w:rPr>
              <w:br w:type="textWrapping"/>
            </w:r>
            <w:r>
              <w:rPr>
                <w:rFonts w:hint="eastAsia" w:ascii="宋体" w:hAnsi="宋体" w:cs="宋体"/>
                <w:kern w:val="0"/>
                <w:sz w:val="24"/>
                <w:szCs w:val="24"/>
              </w:rPr>
              <w:t>人数</w:t>
            </w:r>
          </w:p>
        </w:tc>
      </w:tr>
      <w:tr>
        <w:tblPrEx>
          <w:tblCellMar>
            <w:top w:w="20" w:type="dxa"/>
            <w:left w:w="30" w:type="dxa"/>
            <w:bottom w:w="0" w:type="dxa"/>
            <w:right w:w="20" w:type="dxa"/>
          </w:tblCellMar>
        </w:tblPrEx>
        <w:trPr>
          <w:trHeight w:val="227" w:hRule="atLeast"/>
          <w:jc w:val="center"/>
        </w:trPr>
        <w:tc>
          <w:tcPr>
            <w:tcW w:w="2581" w:type="dxa"/>
            <w:tcBorders>
              <w:top w:val="single" w:color="auto" w:sz="4" w:space="0"/>
              <w:left w:val="single" w:color="auto" w:sz="12" w:space="0"/>
              <w:bottom w:val="single" w:color="auto" w:sz="4" w:space="0"/>
              <w:right w:val="single" w:color="auto" w:sz="4" w:space="0"/>
            </w:tcBorders>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hAnsi="宋体" w:eastAsia="宋体"/>
                <w:sz w:val="24"/>
                <w:szCs w:val="24"/>
              </w:rPr>
            </w:pPr>
            <w:r>
              <w:rPr>
                <w:rFonts w:ascii="宋体" w:hAnsi="宋体" w:eastAsia="宋体"/>
                <w:sz w:val="24"/>
                <w:szCs w:val="24"/>
              </w:rPr>
              <w:t>合计</w:t>
            </w:r>
          </w:p>
        </w:tc>
        <w:tc>
          <w:tcPr>
            <w:tcW w:w="935" w:type="dxa"/>
            <w:tcBorders>
              <w:top w:val="single" w:color="auto" w:sz="4" w:space="0"/>
              <w:left w:val="nil"/>
              <w:bottom w:val="single" w:color="auto" w:sz="4" w:space="0"/>
              <w:right w:val="single" w:color="auto" w:sz="4" w:space="0"/>
            </w:tcBorders>
            <w:tcMar>
              <w:left w:w="20" w:type="dxa"/>
            </w:tcMa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sz w:val="24"/>
                <w:szCs w:val="24"/>
              </w:rPr>
            </w:pPr>
          </w:p>
        </w:tc>
        <w:tc>
          <w:tcPr>
            <w:tcW w:w="612" w:type="dxa"/>
            <w:tcBorders>
              <w:top w:val="single" w:color="auto" w:sz="4" w:space="0"/>
              <w:left w:val="nil"/>
              <w:bottom w:val="single" w:color="auto" w:sz="4" w:space="0"/>
              <w:right w:val="single" w:color="auto" w:sz="4" w:space="0"/>
            </w:tcBorders>
            <w:tcMar>
              <w:left w:w="20" w:type="dxa"/>
            </w:tcMar>
            <w:vAlign w:val="center"/>
          </w:tcPr>
          <w:p>
            <w:pPr>
              <w:keepNext w:val="0"/>
              <w:keepLines w:val="0"/>
              <w:widowControl/>
              <w:suppressLineNumbers w:val="0"/>
              <w:jc w:val="center"/>
              <w:textAlignment w:val="center"/>
              <w:rPr>
                <w:sz w:val="24"/>
                <w:szCs w:val="24"/>
              </w:rPr>
            </w:pPr>
          </w:p>
        </w:tc>
        <w:tc>
          <w:tcPr>
            <w:tcW w:w="828" w:type="dxa"/>
            <w:tcBorders>
              <w:top w:val="single" w:color="auto" w:sz="4" w:space="0"/>
              <w:left w:val="nil"/>
              <w:bottom w:val="single" w:color="auto" w:sz="4" w:space="0"/>
              <w:right w:val="single" w:color="auto" w:sz="4" w:space="0"/>
            </w:tcBorders>
            <w:tcMar>
              <w:left w:w="20" w:type="dxa"/>
            </w:tcMar>
            <w:vAlign w:val="center"/>
          </w:tcPr>
          <w:p>
            <w:pPr>
              <w:keepNext w:val="0"/>
              <w:keepLines w:val="0"/>
              <w:widowControl/>
              <w:suppressLineNumbers w:val="0"/>
              <w:jc w:val="center"/>
              <w:textAlignment w:val="center"/>
              <w:rPr>
                <w:rFonts w:hint="default"/>
                <w:sz w:val="24"/>
                <w:szCs w:val="24"/>
                <w:lang w:val="en-US"/>
              </w:rPr>
            </w:pPr>
          </w:p>
        </w:tc>
        <w:tc>
          <w:tcPr>
            <w:tcW w:w="799"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eastAsia="宋体"/>
                <w:sz w:val="24"/>
                <w:szCs w:val="24"/>
                <w:lang w:val="en-US" w:eastAsia="zh-CN"/>
              </w:rPr>
            </w:pPr>
            <w:r>
              <w:rPr>
                <w:rFonts w:hint="eastAsia" w:eastAsia="宋体"/>
                <w:sz w:val="24"/>
                <w:szCs w:val="24"/>
                <w:lang w:val="en-US" w:eastAsia="zh-CN"/>
              </w:rPr>
              <w:t>1</w:t>
            </w:r>
          </w:p>
        </w:tc>
        <w:tc>
          <w:tcPr>
            <w:tcW w:w="623"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center"/>
              <w:rPr>
                <w:rFonts w:hint="eastAsia" w:eastAsia="宋体"/>
                <w:sz w:val="24"/>
                <w:szCs w:val="24"/>
                <w:lang w:val="en-US" w:eastAsia="zh-CN"/>
              </w:rPr>
            </w:pPr>
            <w:r>
              <w:rPr>
                <w:rFonts w:hint="eastAsia" w:eastAsia="宋体"/>
                <w:sz w:val="24"/>
                <w:szCs w:val="24"/>
                <w:lang w:val="en-US" w:eastAsia="zh-CN"/>
              </w:rPr>
              <w:t>106</w:t>
            </w:r>
          </w:p>
        </w:tc>
        <w:tc>
          <w:tcPr>
            <w:tcW w:w="655" w:type="dxa"/>
            <w:tcBorders>
              <w:top w:val="single" w:color="auto" w:sz="4" w:space="0"/>
              <w:left w:val="single" w:color="auto" w:sz="4" w:space="0"/>
              <w:bottom w:val="single" w:color="auto" w:sz="4" w:space="0"/>
              <w:right w:val="single" w:color="auto" w:sz="4" w:space="0"/>
            </w:tcBorders>
            <w:tcMar>
              <w:left w:w="20" w:type="dxa"/>
            </w:tcMa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120" w:firstLineChars="50"/>
              <w:rPr>
                <w:rFonts w:hint="eastAsia" w:eastAsia="宋体"/>
                <w:sz w:val="24"/>
                <w:szCs w:val="24"/>
                <w:lang w:val="en-US" w:eastAsia="zh-CN"/>
              </w:rPr>
            </w:pPr>
            <w:r>
              <w:rPr>
                <w:rFonts w:hint="eastAsia" w:eastAsia="宋体"/>
                <w:sz w:val="24"/>
                <w:szCs w:val="24"/>
                <w:lang w:val="en-US" w:eastAsia="zh-CN"/>
              </w:rPr>
              <w:t>64</w:t>
            </w:r>
          </w:p>
        </w:tc>
        <w:tc>
          <w:tcPr>
            <w:tcW w:w="650" w:type="dxa"/>
            <w:tcBorders>
              <w:top w:val="single" w:color="auto" w:sz="4" w:space="0"/>
              <w:left w:val="single" w:color="auto" w:sz="4" w:space="0"/>
              <w:bottom w:val="single" w:color="auto" w:sz="4" w:space="0"/>
              <w:right w:val="single" w:color="auto" w:sz="12" w:space="0"/>
            </w:tcBorders>
            <w:tcMar>
              <w:left w:w="20" w:type="dxa"/>
              <w:right w:w="3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rPr>
                <w:kern w:val="0"/>
                <w:sz w:val="24"/>
                <w:szCs w:val="24"/>
              </w:rPr>
            </w:pPr>
          </w:p>
        </w:tc>
      </w:tr>
      <w:tr>
        <w:tblPrEx>
          <w:tblCellMar>
            <w:top w:w="20" w:type="dxa"/>
            <w:left w:w="30" w:type="dxa"/>
            <w:bottom w:w="0" w:type="dxa"/>
            <w:right w:w="20" w:type="dxa"/>
          </w:tblCellMar>
        </w:tblPrEx>
        <w:trPr>
          <w:trHeight w:val="227" w:hRule="atLeast"/>
          <w:jc w:val="center"/>
        </w:trPr>
        <w:tc>
          <w:tcPr>
            <w:tcW w:w="2581" w:type="dxa"/>
            <w:tcBorders>
              <w:top w:val="single" w:color="auto" w:sz="4" w:space="0"/>
              <w:left w:val="single" w:color="auto" w:sz="12" w:space="0"/>
              <w:bottom w:val="single" w:color="auto" w:sz="4" w:space="0"/>
              <w:right w:val="single" w:color="auto" w:sz="4" w:space="0"/>
            </w:tcBorders>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sz w:val="24"/>
                <w:szCs w:val="24"/>
              </w:rPr>
            </w:pPr>
            <w:r>
              <w:rPr>
                <w:rFonts w:hint="eastAsia" w:ascii="宋体" w:hAnsi="宋体" w:eastAsia="宋体"/>
                <w:sz w:val="24"/>
                <w:szCs w:val="24"/>
              </w:rPr>
              <w:t xml:space="preserve">柳州市发展和改革委员会 </w:t>
            </w:r>
          </w:p>
        </w:tc>
        <w:tc>
          <w:tcPr>
            <w:tcW w:w="935"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both"/>
              <w:rPr>
                <w:rFonts w:eastAsia="宋体"/>
                <w:sz w:val="24"/>
                <w:szCs w:val="24"/>
              </w:rPr>
            </w:pPr>
            <w:r>
              <w:rPr>
                <w:rFonts w:hint="eastAsia" w:eastAsia="宋体"/>
                <w:sz w:val="24"/>
                <w:szCs w:val="24"/>
              </w:rPr>
              <w:t>行政</w:t>
            </w:r>
          </w:p>
        </w:tc>
        <w:tc>
          <w:tcPr>
            <w:tcW w:w="612"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both"/>
              <w:rPr>
                <w:rFonts w:hint="eastAsia" w:eastAsia="宋体"/>
                <w:sz w:val="24"/>
                <w:szCs w:val="24"/>
                <w:lang w:val="en-US" w:eastAsia="zh-CN"/>
              </w:rPr>
            </w:pPr>
            <w:r>
              <w:rPr>
                <w:rFonts w:hint="eastAsia" w:eastAsia="宋体"/>
                <w:sz w:val="24"/>
                <w:szCs w:val="24"/>
                <w:lang w:val="en-US" w:eastAsia="zh-CN"/>
              </w:rPr>
              <w:t>88</w:t>
            </w:r>
          </w:p>
        </w:tc>
        <w:tc>
          <w:tcPr>
            <w:tcW w:w="828"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both"/>
              <w:rPr>
                <w:rFonts w:hint="eastAsia" w:eastAsia="宋体"/>
                <w:sz w:val="24"/>
                <w:szCs w:val="24"/>
                <w:lang w:val="en-US" w:eastAsia="zh-CN"/>
              </w:rPr>
            </w:pPr>
            <w:r>
              <w:rPr>
                <w:rFonts w:hint="eastAsia" w:eastAsia="宋体"/>
                <w:sz w:val="24"/>
                <w:szCs w:val="24"/>
                <w:lang w:val="en-US" w:eastAsia="zh-CN"/>
              </w:rPr>
              <w:t>81</w:t>
            </w:r>
          </w:p>
        </w:tc>
        <w:tc>
          <w:tcPr>
            <w:tcW w:w="799"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hint="eastAsia" w:eastAsia="宋体"/>
                <w:sz w:val="24"/>
                <w:szCs w:val="24"/>
                <w:lang w:val="en-US" w:eastAsia="zh-CN"/>
              </w:rPr>
            </w:pPr>
            <w:r>
              <w:rPr>
                <w:rFonts w:hint="eastAsia" w:eastAsia="宋体"/>
                <w:sz w:val="24"/>
                <w:szCs w:val="24"/>
                <w:lang w:val="en-US" w:eastAsia="zh-CN"/>
              </w:rPr>
              <w:t>1</w:t>
            </w:r>
          </w:p>
        </w:tc>
        <w:tc>
          <w:tcPr>
            <w:tcW w:w="623"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center"/>
              <w:rPr>
                <w:rFonts w:hint="eastAsia" w:eastAsia="宋体"/>
                <w:sz w:val="24"/>
                <w:szCs w:val="24"/>
                <w:lang w:val="en-US" w:eastAsia="zh-CN"/>
              </w:rPr>
            </w:pPr>
            <w:r>
              <w:rPr>
                <w:rFonts w:hint="eastAsia" w:eastAsia="宋体"/>
                <w:sz w:val="24"/>
                <w:szCs w:val="24"/>
                <w:lang w:val="en-US" w:eastAsia="zh-CN"/>
              </w:rPr>
              <w:t>97</w:t>
            </w:r>
          </w:p>
        </w:tc>
        <w:tc>
          <w:tcPr>
            <w:tcW w:w="655" w:type="dxa"/>
            <w:tcBorders>
              <w:top w:val="single" w:color="auto" w:sz="4" w:space="0"/>
              <w:left w:val="single" w:color="auto" w:sz="4" w:space="0"/>
              <w:bottom w:val="single" w:color="auto" w:sz="4" w:space="0"/>
              <w:right w:val="single" w:color="auto" w:sz="4" w:space="0"/>
            </w:tcBorders>
            <w:tcMar>
              <w:left w:w="20" w:type="dxa"/>
            </w:tcMa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120" w:firstLineChars="50"/>
              <w:rPr>
                <w:rFonts w:eastAsia="宋体"/>
                <w:sz w:val="24"/>
                <w:szCs w:val="24"/>
              </w:rPr>
            </w:pPr>
          </w:p>
        </w:tc>
        <w:tc>
          <w:tcPr>
            <w:tcW w:w="650" w:type="dxa"/>
            <w:tcBorders>
              <w:top w:val="single" w:color="auto" w:sz="4" w:space="0"/>
              <w:left w:val="single" w:color="auto" w:sz="4" w:space="0"/>
              <w:bottom w:val="single" w:color="auto" w:sz="4" w:space="0"/>
              <w:right w:val="single" w:color="auto" w:sz="12" w:space="0"/>
            </w:tcBorders>
            <w:tcMar>
              <w:left w:w="20" w:type="dxa"/>
              <w:right w:w="3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rPr>
                <w:kern w:val="0"/>
                <w:sz w:val="24"/>
                <w:szCs w:val="24"/>
              </w:rPr>
            </w:pPr>
          </w:p>
        </w:tc>
      </w:tr>
      <w:tr>
        <w:tblPrEx>
          <w:tblCellMar>
            <w:top w:w="20" w:type="dxa"/>
            <w:left w:w="30" w:type="dxa"/>
            <w:bottom w:w="0" w:type="dxa"/>
            <w:right w:w="20" w:type="dxa"/>
          </w:tblCellMar>
        </w:tblPrEx>
        <w:trPr>
          <w:trHeight w:val="227" w:hRule="atLeast"/>
          <w:jc w:val="center"/>
        </w:trPr>
        <w:tc>
          <w:tcPr>
            <w:tcW w:w="2581" w:type="dxa"/>
            <w:tcBorders>
              <w:top w:val="single" w:color="auto" w:sz="4" w:space="0"/>
              <w:left w:val="single" w:color="auto" w:sz="12" w:space="0"/>
              <w:bottom w:val="single" w:color="auto" w:sz="4" w:space="0"/>
              <w:right w:val="single" w:color="auto" w:sz="4" w:space="0"/>
            </w:tcBorders>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eastAsia="宋体"/>
                <w:sz w:val="24"/>
                <w:szCs w:val="24"/>
              </w:rPr>
            </w:pPr>
            <w:r>
              <w:rPr>
                <w:rFonts w:hint="eastAsia" w:ascii="宋体" w:hAnsi="宋体" w:eastAsia="宋体"/>
                <w:sz w:val="24"/>
                <w:szCs w:val="24"/>
              </w:rPr>
              <w:t>柳州市发展和改革委员会</w:t>
            </w:r>
          </w:p>
        </w:tc>
        <w:tc>
          <w:tcPr>
            <w:tcW w:w="935"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both"/>
              <w:rPr>
                <w:rFonts w:hint="eastAsia" w:eastAsia="宋体"/>
                <w:sz w:val="24"/>
                <w:szCs w:val="24"/>
                <w:lang w:val="en-US" w:eastAsia="zh-CN"/>
              </w:rPr>
            </w:pPr>
            <w:r>
              <w:rPr>
                <w:rFonts w:hint="eastAsia" w:eastAsia="宋体"/>
                <w:sz w:val="24"/>
                <w:szCs w:val="24"/>
                <w:lang w:val="en-US" w:eastAsia="zh-CN"/>
              </w:rPr>
              <w:t>工勤</w:t>
            </w:r>
          </w:p>
        </w:tc>
        <w:tc>
          <w:tcPr>
            <w:tcW w:w="612"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both"/>
              <w:rPr>
                <w:rFonts w:hint="eastAsia" w:eastAsia="宋体"/>
                <w:sz w:val="24"/>
                <w:szCs w:val="24"/>
                <w:lang w:val="en-US" w:eastAsia="zh-CN"/>
              </w:rPr>
            </w:pPr>
            <w:r>
              <w:rPr>
                <w:rFonts w:hint="eastAsia" w:eastAsia="宋体"/>
                <w:sz w:val="24"/>
                <w:szCs w:val="24"/>
                <w:lang w:val="en-US" w:eastAsia="zh-CN"/>
              </w:rPr>
              <w:t>6</w:t>
            </w:r>
          </w:p>
        </w:tc>
        <w:tc>
          <w:tcPr>
            <w:tcW w:w="828"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hint="eastAsia" w:eastAsia="宋体"/>
                <w:sz w:val="24"/>
                <w:szCs w:val="24"/>
                <w:lang w:val="en-US" w:eastAsia="zh-CN"/>
              </w:rPr>
            </w:pPr>
            <w:r>
              <w:rPr>
                <w:rFonts w:hint="eastAsia" w:eastAsia="宋体"/>
                <w:sz w:val="24"/>
                <w:szCs w:val="24"/>
                <w:lang w:val="en-US" w:eastAsia="zh-CN"/>
              </w:rPr>
              <w:t xml:space="preserve">  6</w:t>
            </w:r>
          </w:p>
        </w:tc>
        <w:tc>
          <w:tcPr>
            <w:tcW w:w="799"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sz w:val="24"/>
                <w:szCs w:val="24"/>
              </w:rPr>
            </w:pPr>
          </w:p>
        </w:tc>
        <w:tc>
          <w:tcPr>
            <w:tcW w:w="623"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sz w:val="24"/>
                <w:szCs w:val="24"/>
              </w:rPr>
            </w:pPr>
          </w:p>
        </w:tc>
        <w:tc>
          <w:tcPr>
            <w:tcW w:w="655" w:type="dxa"/>
            <w:tcBorders>
              <w:top w:val="single" w:color="auto" w:sz="4" w:space="0"/>
              <w:left w:val="single" w:color="auto" w:sz="4" w:space="0"/>
              <w:bottom w:val="single" w:color="auto" w:sz="4" w:space="0"/>
              <w:right w:val="single" w:color="auto" w:sz="4" w:space="0"/>
            </w:tcBorders>
            <w:tcMar>
              <w:left w:w="20" w:type="dxa"/>
            </w:tcMa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sz w:val="24"/>
                <w:szCs w:val="24"/>
              </w:rPr>
            </w:pPr>
          </w:p>
        </w:tc>
        <w:tc>
          <w:tcPr>
            <w:tcW w:w="650" w:type="dxa"/>
            <w:tcBorders>
              <w:top w:val="single" w:color="auto" w:sz="4" w:space="0"/>
              <w:left w:val="single" w:color="auto" w:sz="4" w:space="0"/>
              <w:bottom w:val="single" w:color="auto" w:sz="4" w:space="0"/>
              <w:right w:val="single" w:color="auto" w:sz="12" w:space="0"/>
            </w:tcBorders>
            <w:tcMar>
              <w:left w:w="20" w:type="dxa"/>
              <w:right w:w="3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rPr>
                <w:kern w:val="0"/>
                <w:sz w:val="24"/>
                <w:szCs w:val="24"/>
              </w:rPr>
            </w:pPr>
          </w:p>
        </w:tc>
      </w:tr>
      <w:tr>
        <w:tblPrEx>
          <w:tblCellMar>
            <w:top w:w="20" w:type="dxa"/>
            <w:left w:w="30" w:type="dxa"/>
            <w:bottom w:w="0" w:type="dxa"/>
            <w:right w:w="20" w:type="dxa"/>
          </w:tblCellMar>
        </w:tblPrEx>
        <w:trPr>
          <w:trHeight w:val="537" w:hRule="atLeast"/>
          <w:jc w:val="center"/>
        </w:trPr>
        <w:tc>
          <w:tcPr>
            <w:tcW w:w="2581" w:type="dxa"/>
            <w:tcBorders>
              <w:top w:val="single" w:color="auto" w:sz="4" w:space="0"/>
              <w:left w:val="single" w:color="auto" w:sz="12" w:space="0"/>
              <w:bottom w:val="single" w:color="auto" w:sz="4" w:space="0"/>
              <w:right w:val="single" w:color="auto" w:sz="4" w:space="0"/>
            </w:tcBorders>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eastAsia="宋体"/>
                <w:sz w:val="24"/>
                <w:szCs w:val="24"/>
              </w:rPr>
            </w:pPr>
            <w:r>
              <w:rPr>
                <w:rFonts w:hint="eastAsia" w:eastAsia="宋体"/>
                <w:sz w:val="24"/>
                <w:szCs w:val="24"/>
              </w:rPr>
              <w:t>柳州市项目促进中心</w:t>
            </w:r>
          </w:p>
        </w:tc>
        <w:tc>
          <w:tcPr>
            <w:tcW w:w="935"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both"/>
              <w:rPr>
                <w:rFonts w:eastAsia="宋体"/>
                <w:sz w:val="24"/>
                <w:szCs w:val="24"/>
              </w:rPr>
            </w:pPr>
            <w:r>
              <w:rPr>
                <w:rFonts w:hint="eastAsia" w:eastAsia="宋体"/>
                <w:sz w:val="24"/>
                <w:szCs w:val="24"/>
              </w:rPr>
              <w:t>参公</w:t>
            </w:r>
          </w:p>
        </w:tc>
        <w:tc>
          <w:tcPr>
            <w:tcW w:w="612"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both"/>
              <w:rPr>
                <w:rFonts w:hint="eastAsia" w:eastAsia="宋体"/>
                <w:sz w:val="24"/>
                <w:szCs w:val="24"/>
                <w:lang w:val="en-US" w:eastAsia="zh-CN"/>
              </w:rPr>
            </w:pPr>
            <w:r>
              <w:rPr>
                <w:rFonts w:hint="eastAsia" w:eastAsia="宋体"/>
                <w:sz w:val="24"/>
                <w:szCs w:val="24"/>
                <w:lang w:val="en-US" w:eastAsia="zh-CN"/>
              </w:rPr>
              <w:t>17</w:t>
            </w:r>
          </w:p>
        </w:tc>
        <w:tc>
          <w:tcPr>
            <w:tcW w:w="828"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240" w:firstLineChars="100"/>
              <w:jc w:val="both"/>
              <w:rPr>
                <w:rFonts w:hint="eastAsia" w:eastAsia="宋体"/>
                <w:sz w:val="24"/>
                <w:szCs w:val="24"/>
                <w:lang w:val="en-US" w:eastAsia="zh-CN"/>
              </w:rPr>
            </w:pPr>
            <w:r>
              <w:rPr>
                <w:rFonts w:hint="eastAsia" w:eastAsia="宋体"/>
                <w:sz w:val="24"/>
                <w:szCs w:val="24"/>
                <w:lang w:val="en-US" w:eastAsia="zh-CN"/>
              </w:rPr>
              <w:t>15</w:t>
            </w:r>
          </w:p>
        </w:tc>
        <w:tc>
          <w:tcPr>
            <w:tcW w:w="799"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sz w:val="24"/>
                <w:szCs w:val="24"/>
              </w:rPr>
            </w:pPr>
          </w:p>
        </w:tc>
        <w:tc>
          <w:tcPr>
            <w:tcW w:w="623"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sz w:val="24"/>
                <w:szCs w:val="24"/>
              </w:rPr>
            </w:pPr>
          </w:p>
        </w:tc>
        <w:tc>
          <w:tcPr>
            <w:tcW w:w="655" w:type="dxa"/>
            <w:tcBorders>
              <w:top w:val="single" w:color="auto" w:sz="4" w:space="0"/>
              <w:left w:val="single" w:color="auto" w:sz="4" w:space="0"/>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sz w:val="24"/>
                <w:szCs w:val="24"/>
                <w:lang w:val="en-US" w:eastAsia="zh-CN"/>
              </w:rPr>
            </w:pPr>
            <w:r>
              <w:rPr>
                <w:rFonts w:hint="eastAsia" w:eastAsia="宋体"/>
                <w:sz w:val="24"/>
                <w:szCs w:val="24"/>
                <w:lang w:val="en-US" w:eastAsia="zh-CN"/>
              </w:rPr>
              <w:t>7</w:t>
            </w:r>
          </w:p>
        </w:tc>
        <w:tc>
          <w:tcPr>
            <w:tcW w:w="650" w:type="dxa"/>
            <w:tcBorders>
              <w:top w:val="single" w:color="auto" w:sz="4" w:space="0"/>
              <w:left w:val="single" w:color="auto" w:sz="4" w:space="0"/>
              <w:bottom w:val="single" w:color="auto" w:sz="4" w:space="0"/>
              <w:right w:val="single" w:color="auto" w:sz="12" w:space="0"/>
            </w:tcBorders>
            <w:tcMar>
              <w:left w:w="20" w:type="dxa"/>
              <w:right w:w="3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rPr>
                <w:kern w:val="0"/>
                <w:sz w:val="24"/>
                <w:szCs w:val="24"/>
              </w:rPr>
            </w:pPr>
          </w:p>
        </w:tc>
      </w:tr>
      <w:tr>
        <w:tblPrEx>
          <w:tblCellMar>
            <w:top w:w="20" w:type="dxa"/>
            <w:left w:w="30" w:type="dxa"/>
            <w:bottom w:w="0" w:type="dxa"/>
            <w:right w:w="20" w:type="dxa"/>
          </w:tblCellMar>
        </w:tblPrEx>
        <w:trPr>
          <w:trHeight w:val="627" w:hRule="atLeast"/>
          <w:jc w:val="center"/>
        </w:trPr>
        <w:tc>
          <w:tcPr>
            <w:tcW w:w="2581" w:type="dxa"/>
            <w:tcBorders>
              <w:top w:val="single" w:color="auto" w:sz="4" w:space="0"/>
              <w:left w:val="single" w:color="auto" w:sz="12" w:space="0"/>
              <w:bottom w:val="single" w:color="auto" w:sz="4" w:space="0"/>
              <w:right w:val="single" w:color="auto" w:sz="4" w:space="0"/>
            </w:tcBorders>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4"/>
                <w:u w:val="none"/>
                <w:shd w:val="clear" w:color="auto" w:fill="auto"/>
                <w:lang w:val="en-US" w:eastAsia="zh-CN" w:bidi="ar-SA"/>
              </w:rPr>
            </w:pPr>
            <w:r>
              <w:rPr>
                <w:rFonts w:hint="eastAsia" w:ascii="宋体" w:hAnsi="宋体" w:eastAsia="宋体" w:cs="Times New Roman"/>
                <w:color w:val="auto"/>
                <w:kern w:val="0"/>
                <w:position w:val="0"/>
                <w:sz w:val="24"/>
                <w:szCs w:val="24"/>
                <w:u w:val="none"/>
                <w:shd w:val="clear" w:color="auto" w:fill="auto"/>
                <w:lang w:val="en-US" w:eastAsia="zh-CN" w:bidi="ar-SA"/>
              </w:rPr>
              <w:t>柳州市</w:t>
            </w:r>
            <w:r>
              <w:rPr>
                <w:rFonts w:hint="eastAsia" w:ascii="宋体" w:hAnsi="宋体" w:cs="Times New Roman"/>
                <w:color w:val="auto"/>
                <w:kern w:val="0"/>
                <w:position w:val="0"/>
                <w:sz w:val="24"/>
                <w:szCs w:val="24"/>
                <w:u w:val="none"/>
                <w:shd w:val="clear" w:color="auto" w:fill="auto"/>
                <w:lang w:val="en-US" w:eastAsia="zh-CN" w:bidi="ar-SA"/>
              </w:rPr>
              <w:t>价格认证</w:t>
            </w:r>
            <w:r>
              <w:rPr>
                <w:rFonts w:hint="eastAsia" w:ascii="宋体" w:hAnsi="宋体" w:eastAsia="宋体" w:cs="Times New Roman"/>
                <w:color w:val="auto"/>
                <w:kern w:val="0"/>
                <w:position w:val="0"/>
                <w:sz w:val="24"/>
                <w:szCs w:val="24"/>
                <w:u w:val="none"/>
                <w:shd w:val="clear" w:color="auto" w:fill="auto"/>
                <w:lang w:val="en-US" w:eastAsia="zh-CN" w:bidi="ar-SA"/>
              </w:rPr>
              <w:t>中心</w:t>
            </w:r>
          </w:p>
        </w:tc>
        <w:tc>
          <w:tcPr>
            <w:tcW w:w="935" w:type="dxa"/>
            <w:tcBorders>
              <w:top w:val="single" w:color="auto" w:sz="4" w:space="0"/>
              <w:left w:val="nil"/>
              <w:bottom w:val="single" w:color="auto" w:sz="4" w:space="0"/>
              <w:right w:val="single" w:color="auto" w:sz="4" w:space="0"/>
            </w:tcBorders>
            <w:tcMar>
              <w:left w:w="20" w:type="dxa"/>
            </w:tcMar>
            <w:vAlign w:val="center"/>
          </w:tcPr>
          <w:p>
            <w:pPr>
              <w:tabs>
                <w:tab w:val="left" w:pos="420"/>
                <w:tab w:val="left" w:pos="1260"/>
                <w:tab w:val="left" w:pos="2100"/>
                <w:tab w:val="left" w:pos="2940"/>
                <w:tab w:val="left" w:pos="3780"/>
                <w:tab w:val="left" w:pos="4620"/>
                <w:tab w:val="left" w:pos="5460"/>
              </w:tabs>
              <w:autoSpaceDE w:val="0"/>
              <w:autoSpaceDN w:val="0"/>
              <w:adjustRightInd w:val="0"/>
              <w:spacing w:line="317" w:lineRule="exact"/>
              <w:ind w:firstLine="240" w:firstLineChars="100"/>
              <w:jc w:val="both"/>
              <w:rPr>
                <w:rFonts w:hint="eastAsia" w:ascii="宋体" w:hAnsi="宋体" w:eastAsia="宋体" w:cs="Times New Roman"/>
                <w:color w:val="auto"/>
                <w:kern w:val="0"/>
                <w:position w:val="0"/>
                <w:sz w:val="24"/>
                <w:szCs w:val="24"/>
                <w:u w:val="none"/>
                <w:shd w:val="clear" w:color="auto" w:fill="auto"/>
                <w:lang w:val="zh-CN" w:eastAsia="zh-CN" w:bidi="ar-SA"/>
              </w:rPr>
            </w:pPr>
            <w:r>
              <w:rPr>
                <w:rFonts w:hint="eastAsia" w:ascii="宋体" w:hAnsi="宋体" w:eastAsia="宋体" w:cs="Times New Roman"/>
                <w:color w:val="auto"/>
                <w:kern w:val="0"/>
                <w:position w:val="0"/>
                <w:sz w:val="24"/>
                <w:szCs w:val="24"/>
                <w:u w:val="none"/>
                <w:shd w:val="clear" w:color="auto" w:fill="auto"/>
                <w:lang w:val="zh-CN" w:eastAsia="zh-CN" w:bidi="ar-SA"/>
              </w:rPr>
              <w:t>参公</w:t>
            </w:r>
          </w:p>
        </w:tc>
        <w:tc>
          <w:tcPr>
            <w:tcW w:w="612" w:type="dxa"/>
            <w:tcBorders>
              <w:top w:val="single" w:color="auto" w:sz="4" w:space="0"/>
              <w:left w:val="nil"/>
              <w:bottom w:val="single" w:color="auto" w:sz="4" w:space="0"/>
              <w:right w:val="single" w:color="auto" w:sz="4" w:space="0"/>
            </w:tcBorders>
            <w:tcMar>
              <w:left w:w="2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240" w:firstLineChars="100"/>
              <w:jc w:val="both"/>
              <w:rPr>
                <w:rFonts w:hint="eastAsia" w:ascii="宋体" w:hAnsi="宋体" w:eastAsia="宋体" w:cs="Times New Roman"/>
                <w:color w:val="auto"/>
                <w:kern w:val="0"/>
                <w:position w:val="0"/>
                <w:sz w:val="24"/>
                <w:szCs w:val="24"/>
                <w:u w:val="none"/>
                <w:shd w:val="clear" w:color="auto" w:fill="auto"/>
                <w:lang w:val="en-US" w:eastAsia="zh-CN" w:bidi="ar-SA"/>
              </w:rPr>
            </w:pPr>
            <w:r>
              <w:rPr>
                <w:rFonts w:hint="eastAsia" w:ascii="宋体" w:hAnsi="宋体" w:cs="Times New Roman"/>
                <w:color w:val="auto"/>
                <w:kern w:val="0"/>
                <w:position w:val="0"/>
                <w:sz w:val="24"/>
                <w:szCs w:val="24"/>
                <w:u w:val="none"/>
                <w:shd w:val="clear" w:color="auto" w:fill="auto"/>
                <w:lang w:val="en-US" w:eastAsia="zh-CN" w:bidi="ar-SA"/>
              </w:rPr>
              <w:t>10</w:t>
            </w:r>
          </w:p>
        </w:tc>
        <w:tc>
          <w:tcPr>
            <w:tcW w:w="828" w:type="dxa"/>
            <w:tcBorders>
              <w:top w:val="single" w:color="auto" w:sz="4" w:space="0"/>
              <w:left w:val="nil"/>
              <w:bottom w:val="single" w:color="auto" w:sz="4" w:space="0"/>
              <w:right w:val="single" w:color="auto" w:sz="4" w:space="0"/>
            </w:tcBorders>
            <w:tcMar>
              <w:left w:w="2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240" w:firstLineChars="100"/>
              <w:jc w:val="both"/>
              <w:rPr>
                <w:rFonts w:hint="eastAsia" w:ascii="宋体" w:hAnsi="宋体" w:eastAsia="宋体" w:cs="Times New Roman"/>
                <w:color w:val="auto"/>
                <w:kern w:val="0"/>
                <w:position w:val="0"/>
                <w:sz w:val="24"/>
                <w:szCs w:val="24"/>
                <w:u w:val="none"/>
                <w:shd w:val="clear" w:color="auto" w:fill="auto"/>
                <w:lang w:val="en-US" w:eastAsia="zh-CN" w:bidi="ar-SA"/>
              </w:rPr>
            </w:pPr>
            <w:r>
              <w:rPr>
                <w:rFonts w:hint="eastAsia" w:ascii="宋体" w:hAnsi="宋体" w:cs="Times New Roman"/>
                <w:color w:val="auto"/>
                <w:kern w:val="0"/>
                <w:position w:val="0"/>
                <w:sz w:val="24"/>
                <w:szCs w:val="24"/>
                <w:u w:val="none"/>
                <w:shd w:val="clear" w:color="auto" w:fill="auto"/>
                <w:lang w:val="en-US" w:eastAsia="zh-CN" w:bidi="ar-SA"/>
              </w:rPr>
              <w:t>10</w:t>
            </w:r>
          </w:p>
        </w:tc>
        <w:tc>
          <w:tcPr>
            <w:tcW w:w="799" w:type="dxa"/>
            <w:tcBorders>
              <w:top w:val="single" w:color="auto" w:sz="4" w:space="0"/>
              <w:left w:val="nil"/>
              <w:bottom w:val="single" w:color="auto" w:sz="4" w:space="0"/>
              <w:right w:val="single" w:color="auto" w:sz="4" w:space="0"/>
            </w:tcBorders>
            <w:tcMar>
              <w:left w:w="2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jc w:val="center"/>
              <w:rPr>
                <w:rFonts w:hint="eastAsia" w:ascii="宋体" w:hAnsi="宋体" w:eastAsia="宋体" w:cs="Times New Roman"/>
                <w:color w:val="auto"/>
                <w:kern w:val="0"/>
                <w:position w:val="0"/>
                <w:sz w:val="24"/>
                <w:szCs w:val="24"/>
                <w:u w:val="none"/>
                <w:shd w:val="clear" w:color="auto" w:fill="auto"/>
                <w:lang w:val="zh-CN" w:eastAsia="zh-CN" w:bidi="ar-SA"/>
              </w:rPr>
            </w:pPr>
          </w:p>
        </w:tc>
        <w:tc>
          <w:tcPr>
            <w:tcW w:w="623" w:type="dxa"/>
            <w:tcBorders>
              <w:top w:val="single" w:color="auto" w:sz="4" w:space="0"/>
              <w:left w:val="nil"/>
              <w:bottom w:val="single" w:color="auto" w:sz="4" w:space="0"/>
              <w:right w:val="single" w:color="auto" w:sz="4" w:space="0"/>
            </w:tcBorders>
            <w:tcMar>
              <w:top w:w="0" w:type="dxa"/>
              <w:left w:w="0" w:type="dxa"/>
              <w:right w:w="1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240" w:firstLineChars="100"/>
              <w:jc w:val="center"/>
              <w:rPr>
                <w:rFonts w:hint="eastAsia" w:ascii="宋体" w:hAnsi="宋体" w:eastAsia="宋体" w:cs="Times New Roman"/>
                <w:color w:val="auto"/>
                <w:kern w:val="0"/>
                <w:position w:val="0"/>
                <w:sz w:val="24"/>
                <w:szCs w:val="24"/>
                <w:u w:val="none"/>
                <w:shd w:val="clear" w:color="auto" w:fill="auto"/>
                <w:lang w:val="en-US" w:eastAsia="zh-CN" w:bidi="ar-SA"/>
              </w:rPr>
            </w:pPr>
          </w:p>
        </w:tc>
        <w:tc>
          <w:tcPr>
            <w:tcW w:w="655" w:type="dxa"/>
            <w:tcBorders>
              <w:top w:val="single" w:color="auto" w:sz="4" w:space="0"/>
              <w:left w:val="single" w:color="auto" w:sz="4" w:space="0"/>
              <w:bottom w:val="single" w:color="auto" w:sz="4" w:space="0"/>
              <w:right w:val="single" w:color="auto" w:sz="4" w:space="0"/>
            </w:tcBorders>
            <w:tcMar>
              <w:left w:w="2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eastAsia="宋体"/>
                <w:kern w:val="0"/>
                <w:sz w:val="24"/>
                <w:szCs w:val="24"/>
                <w:lang w:val="en-US" w:eastAsia="zh-CN"/>
              </w:rPr>
            </w:pPr>
            <w:r>
              <w:rPr>
                <w:rFonts w:hint="eastAsia"/>
                <w:sz w:val="24"/>
                <w:szCs w:val="24"/>
                <w:lang w:val="en-US" w:eastAsia="zh-CN"/>
              </w:rPr>
              <w:t>5</w:t>
            </w:r>
            <w:r>
              <w:rPr>
                <w:rFonts w:hint="eastAsia" w:eastAsia="宋体"/>
                <w:sz w:val="24"/>
                <w:szCs w:val="24"/>
                <w:lang w:val="en-US" w:eastAsia="zh-CN"/>
              </w:rPr>
              <w:t>7</w:t>
            </w:r>
          </w:p>
        </w:tc>
        <w:tc>
          <w:tcPr>
            <w:tcW w:w="650" w:type="dxa"/>
            <w:tcBorders>
              <w:top w:val="single" w:color="auto" w:sz="4" w:space="0"/>
              <w:left w:val="single" w:color="auto" w:sz="4" w:space="0"/>
              <w:bottom w:val="single" w:color="auto" w:sz="4" w:space="0"/>
              <w:right w:val="single" w:color="auto" w:sz="12" w:space="0"/>
            </w:tcBorders>
            <w:tcMar>
              <w:left w:w="20" w:type="dxa"/>
              <w:right w:w="3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rPr>
                <w:kern w:val="0"/>
                <w:sz w:val="24"/>
                <w:szCs w:val="24"/>
              </w:rPr>
            </w:pPr>
          </w:p>
        </w:tc>
      </w:tr>
      <w:tr>
        <w:tblPrEx>
          <w:tblCellMar>
            <w:top w:w="20" w:type="dxa"/>
            <w:left w:w="30" w:type="dxa"/>
            <w:bottom w:w="0" w:type="dxa"/>
            <w:right w:w="20" w:type="dxa"/>
          </w:tblCellMar>
        </w:tblPrEx>
        <w:trPr>
          <w:trHeight w:val="929" w:hRule="atLeast"/>
          <w:jc w:val="center"/>
        </w:trPr>
        <w:tc>
          <w:tcPr>
            <w:tcW w:w="2581" w:type="dxa"/>
            <w:tcBorders>
              <w:top w:val="single" w:color="auto" w:sz="4" w:space="0"/>
              <w:left w:val="single" w:color="auto" w:sz="12" w:space="0"/>
              <w:bottom w:val="single" w:color="auto" w:sz="4" w:space="0"/>
              <w:right w:val="single" w:color="auto" w:sz="4" w:space="0"/>
            </w:tcBorders>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4"/>
                <w:u w:val="none"/>
                <w:shd w:val="clear" w:color="auto" w:fill="auto"/>
                <w:lang w:val="zh-CN" w:eastAsia="zh-CN" w:bidi="ar-SA"/>
              </w:rPr>
            </w:pPr>
            <w:r>
              <w:rPr>
                <w:rFonts w:hint="eastAsia" w:ascii="宋体" w:hAnsi="宋体" w:eastAsia="宋体" w:cs="Times New Roman"/>
                <w:color w:val="auto"/>
                <w:kern w:val="0"/>
                <w:position w:val="0"/>
                <w:sz w:val="24"/>
                <w:szCs w:val="24"/>
                <w:u w:val="none"/>
                <w:shd w:val="clear" w:color="auto" w:fill="auto"/>
                <w:lang w:val="zh-CN" w:eastAsia="zh-CN" w:bidi="ar-SA"/>
              </w:rPr>
              <w:t>柳州市</w:t>
            </w:r>
            <w:r>
              <w:rPr>
                <w:rFonts w:hint="eastAsia" w:eastAsia="宋体" w:cs="Times New Roman"/>
                <w:color w:val="auto"/>
                <w:kern w:val="0"/>
                <w:position w:val="0"/>
                <w:sz w:val="24"/>
                <w:szCs w:val="24"/>
                <w:u w:val="none"/>
                <w:shd w:val="clear" w:color="auto" w:fill="auto"/>
                <w:lang w:val="zh-CN" w:eastAsia="zh-CN" w:bidi="ar-SA"/>
              </w:rPr>
              <w:t>军粮供应管理中心（市储备粮管理中心）</w:t>
            </w:r>
          </w:p>
        </w:tc>
        <w:tc>
          <w:tcPr>
            <w:tcW w:w="935"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4"/>
                <w:u w:val="none"/>
                <w:shd w:val="clear" w:color="auto" w:fill="auto"/>
                <w:lang w:val="zh-CN" w:eastAsia="zh-CN" w:bidi="ar-SA"/>
              </w:rPr>
            </w:pPr>
            <w:r>
              <w:rPr>
                <w:rFonts w:hint="eastAsia" w:eastAsia="宋体"/>
                <w:sz w:val="24"/>
                <w:szCs w:val="24"/>
                <w:lang w:val="en-US" w:eastAsia="zh-CN"/>
              </w:rPr>
              <w:t xml:space="preserve"> </w:t>
            </w:r>
            <w:r>
              <w:rPr>
                <w:rFonts w:hint="eastAsia" w:eastAsia="宋体"/>
                <w:sz w:val="24"/>
                <w:szCs w:val="24"/>
              </w:rPr>
              <w:t>参公</w:t>
            </w:r>
          </w:p>
        </w:tc>
        <w:tc>
          <w:tcPr>
            <w:tcW w:w="612"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4"/>
                <w:u w:val="none"/>
                <w:shd w:val="clear" w:color="auto" w:fill="auto"/>
                <w:lang w:val="en-US" w:eastAsia="zh-CN" w:bidi="ar-SA"/>
              </w:rPr>
            </w:pPr>
            <w:r>
              <w:rPr>
                <w:rFonts w:hint="eastAsia" w:eastAsia="宋体" w:cs="Times New Roman"/>
                <w:color w:val="auto"/>
                <w:kern w:val="0"/>
                <w:position w:val="0"/>
                <w:sz w:val="24"/>
                <w:szCs w:val="24"/>
                <w:u w:val="none"/>
                <w:shd w:val="clear" w:color="auto" w:fill="auto"/>
                <w:lang w:val="en-US" w:eastAsia="zh-CN" w:bidi="ar-SA"/>
              </w:rPr>
              <w:t>16</w:t>
            </w:r>
          </w:p>
        </w:tc>
        <w:tc>
          <w:tcPr>
            <w:tcW w:w="828"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4"/>
                <w:u w:val="none"/>
                <w:shd w:val="clear" w:color="auto" w:fill="auto"/>
                <w:lang w:val="en-US" w:eastAsia="zh-CN" w:bidi="ar-SA"/>
              </w:rPr>
            </w:pPr>
            <w:r>
              <w:rPr>
                <w:rFonts w:hint="eastAsia" w:eastAsia="宋体" w:cs="Times New Roman"/>
                <w:color w:val="auto"/>
                <w:kern w:val="0"/>
                <w:position w:val="0"/>
                <w:sz w:val="24"/>
                <w:szCs w:val="24"/>
                <w:u w:val="none"/>
                <w:shd w:val="clear" w:color="auto" w:fill="auto"/>
                <w:lang w:val="en-US" w:eastAsia="zh-CN" w:bidi="ar-SA"/>
              </w:rPr>
              <w:t>14</w:t>
            </w:r>
          </w:p>
        </w:tc>
        <w:tc>
          <w:tcPr>
            <w:tcW w:w="799" w:type="dxa"/>
            <w:tcBorders>
              <w:top w:val="single" w:color="auto" w:sz="4" w:space="0"/>
              <w:left w:val="nil"/>
              <w:bottom w:val="single" w:color="auto" w:sz="4" w:space="0"/>
              <w:right w:val="single" w:color="auto" w:sz="4" w:space="0"/>
            </w:tcBorders>
            <w:tcMar>
              <w:left w:w="2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4"/>
                <w:u w:val="none"/>
                <w:shd w:val="clear" w:color="auto" w:fill="auto"/>
                <w:lang w:val="zh-CN" w:eastAsia="zh-CN" w:bidi="ar-SA"/>
              </w:rPr>
            </w:pPr>
          </w:p>
        </w:tc>
        <w:tc>
          <w:tcPr>
            <w:tcW w:w="623"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4"/>
                <w:u w:val="none"/>
                <w:shd w:val="clear" w:color="auto" w:fill="auto"/>
                <w:lang w:val="en-US" w:eastAsia="zh-CN" w:bidi="ar-SA"/>
              </w:rPr>
            </w:pPr>
            <w:r>
              <w:rPr>
                <w:rFonts w:hint="eastAsia" w:eastAsia="宋体" w:cs="Times New Roman"/>
                <w:color w:val="auto"/>
                <w:kern w:val="0"/>
                <w:position w:val="0"/>
                <w:sz w:val="24"/>
                <w:szCs w:val="24"/>
                <w:u w:val="none"/>
                <w:shd w:val="clear" w:color="auto" w:fill="auto"/>
                <w:lang w:val="en-US" w:eastAsia="zh-CN" w:bidi="ar-SA"/>
              </w:rPr>
              <w:t>9</w:t>
            </w:r>
          </w:p>
        </w:tc>
        <w:tc>
          <w:tcPr>
            <w:tcW w:w="655" w:type="dxa"/>
            <w:tcBorders>
              <w:top w:val="single" w:color="auto" w:sz="4" w:space="0"/>
              <w:left w:val="single" w:color="auto" w:sz="4" w:space="0"/>
              <w:bottom w:val="single" w:color="auto" w:sz="4" w:space="0"/>
              <w:right w:val="single" w:color="auto" w:sz="4" w:space="0"/>
            </w:tcBorders>
            <w:tcMar>
              <w:left w:w="2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rPr>
                <w:kern w:val="0"/>
                <w:sz w:val="24"/>
                <w:szCs w:val="24"/>
              </w:rPr>
            </w:pPr>
          </w:p>
        </w:tc>
        <w:tc>
          <w:tcPr>
            <w:tcW w:w="650" w:type="dxa"/>
            <w:tcBorders>
              <w:top w:val="single" w:color="auto" w:sz="4" w:space="0"/>
              <w:left w:val="single" w:color="auto" w:sz="4" w:space="0"/>
              <w:bottom w:val="single" w:color="auto" w:sz="4" w:space="0"/>
              <w:right w:val="single" w:color="auto" w:sz="12" w:space="0"/>
            </w:tcBorders>
            <w:tcMar>
              <w:left w:w="20" w:type="dxa"/>
              <w:right w:w="3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rPr>
                <w:kern w:val="0"/>
                <w:sz w:val="24"/>
                <w:szCs w:val="24"/>
              </w:rPr>
            </w:pPr>
          </w:p>
        </w:tc>
      </w:tr>
    </w:tbl>
    <w:p/>
    <w:p>
      <w:pPr>
        <w:jc w:val="both"/>
      </w:pPr>
    </w:p>
    <w:p>
      <w:pPr>
        <w:jc w:val="both"/>
      </w:pPr>
    </w:p>
    <w:p>
      <w:pPr>
        <w:jc w:val="center"/>
      </w:pPr>
    </w:p>
    <w:p>
      <w:pPr>
        <w:jc w:val="cente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柳州市发展和改革委员会</w:t>
      </w:r>
      <w:r>
        <w:rPr>
          <w:rFonts w:hint="eastAsia" w:ascii="仿宋_GB2312" w:eastAsia="仿宋_GB2312"/>
          <w:b/>
          <w:sz w:val="32"/>
          <w:szCs w:val="32"/>
        </w:rPr>
        <w:t xml:space="preserve"> </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详见附件</w:t>
      </w: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w:t>
      </w:r>
      <w:bookmarkStart w:id="0" w:name="_GoBack"/>
      <w:r>
        <w:rPr>
          <w:rFonts w:hint="eastAsia" w:ascii="仿宋_GB2312" w:hAnsi="黑体" w:eastAsia="仿宋_GB2312"/>
          <w:b/>
          <w:bCs/>
          <w:color w:val="000000"/>
          <w:sz w:val="32"/>
          <w:szCs w:val="32"/>
        </w:rPr>
        <w:t>发展和</w:t>
      </w:r>
      <w:bookmarkEnd w:id="0"/>
      <w:r>
        <w:rPr>
          <w:rFonts w:hint="eastAsia" w:ascii="仿宋_GB2312" w:hAnsi="黑体" w:eastAsia="仿宋_GB2312"/>
          <w:b/>
          <w:bCs/>
          <w:color w:val="000000"/>
          <w:sz w:val="32"/>
          <w:szCs w:val="32"/>
        </w:rPr>
        <w:t>改革委员会</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年度收入总计7949.32万元，支出总计7949.32万元，与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 w:val="0"/>
          <w:bCs/>
          <w:kern w:val="0"/>
          <w:sz w:val="32"/>
          <w:szCs w:val="32"/>
        </w:rPr>
        <w:t>年相比，收、支分别</w:t>
      </w:r>
      <w:r>
        <w:rPr>
          <w:rFonts w:hint="eastAsia" w:ascii="仿宋_GB2312" w:eastAsia="仿宋_GB2312" w:cs="仿宋_GB2312"/>
          <w:b w:val="0"/>
          <w:bCs/>
          <w:kern w:val="0"/>
          <w:sz w:val="32"/>
          <w:szCs w:val="32"/>
          <w:lang w:eastAsia="zh-CN"/>
        </w:rPr>
        <w:t>减少</w:t>
      </w:r>
      <w:r>
        <w:rPr>
          <w:rFonts w:hint="eastAsia" w:ascii="仿宋_GB2312" w:eastAsia="仿宋_GB2312" w:cs="仿宋_GB2312"/>
          <w:b w:val="0"/>
          <w:bCs/>
          <w:kern w:val="0"/>
          <w:sz w:val="32"/>
          <w:szCs w:val="32"/>
          <w:lang w:val="en-US" w:eastAsia="zh-CN"/>
        </w:rPr>
        <w:t>747.17万元</w:t>
      </w:r>
      <w:r>
        <w:rPr>
          <w:rFonts w:hint="eastAsia" w:ascii="仿宋_GB2312" w:eastAsia="仿宋_GB2312" w:cs="仿宋_GB2312"/>
          <w:b w:val="0"/>
          <w:bCs/>
          <w:kern w:val="0"/>
          <w:sz w:val="32"/>
          <w:szCs w:val="32"/>
        </w:rPr>
        <w:t>；分别</w:t>
      </w:r>
      <w:r>
        <w:rPr>
          <w:rFonts w:hint="eastAsia" w:ascii="仿宋_GB2312" w:eastAsia="仿宋_GB2312" w:cs="仿宋_GB2312"/>
          <w:b w:val="0"/>
          <w:bCs/>
          <w:kern w:val="0"/>
          <w:sz w:val="32"/>
          <w:szCs w:val="32"/>
          <w:lang w:eastAsia="zh-CN"/>
        </w:rPr>
        <w:t>降低</w:t>
      </w:r>
      <w:r>
        <w:rPr>
          <w:rFonts w:hint="eastAsia" w:ascii="仿宋_GB2312" w:eastAsia="仿宋_GB2312" w:cs="仿宋_GB2312"/>
          <w:b w:val="0"/>
          <w:bCs/>
          <w:kern w:val="0"/>
          <w:sz w:val="32"/>
          <w:szCs w:val="32"/>
          <w:lang w:val="en-US" w:eastAsia="zh-CN"/>
        </w:rPr>
        <w:t>8.59</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lang w:eastAsia="zh-CN"/>
        </w:rPr>
        <w:t>本年收入总计7949.32万元 ，其中：一般公共预算财政拨款收入6726.8</w:t>
      </w:r>
      <w:r>
        <w:rPr>
          <w:rFonts w:hint="eastAsia" w:ascii="仿宋_GB2312" w:eastAsia="仿宋_GB2312" w:cs="仿宋_GB2312"/>
          <w:b w:val="0"/>
          <w:bCs/>
          <w:kern w:val="0"/>
          <w:sz w:val="32"/>
          <w:szCs w:val="32"/>
          <w:lang w:val="en-US" w:eastAsia="zh-CN"/>
        </w:rPr>
        <w:t>5</w:t>
      </w:r>
      <w:r>
        <w:rPr>
          <w:rFonts w:hint="eastAsia" w:ascii="仿宋_GB2312" w:eastAsia="仿宋_GB2312" w:cs="仿宋_GB2312"/>
          <w:b w:val="0"/>
          <w:bCs/>
          <w:kern w:val="0"/>
          <w:sz w:val="32"/>
          <w:szCs w:val="32"/>
          <w:lang w:eastAsia="zh-CN"/>
        </w:rPr>
        <w:t>万元；占比</w:t>
      </w:r>
      <w:r>
        <w:rPr>
          <w:rFonts w:hint="eastAsia" w:ascii="仿宋_GB2312" w:eastAsia="仿宋_GB2312" w:cs="仿宋_GB2312"/>
          <w:b w:val="0"/>
          <w:bCs/>
          <w:kern w:val="0"/>
          <w:sz w:val="32"/>
          <w:szCs w:val="32"/>
          <w:lang w:val="en-US" w:eastAsia="zh-CN"/>
        </w:rPr>
        <w:t>84.62%</w:t>
      </w:r>
      <w:r>
        <w:rPr>
          <w:rFonts w:hint="eastAsia" w:ascii="仿宋_GB2312" w:eastAsia="仿宋_GB2312" w:cs="仿宋_GB2312"/>
          <w:b w:val="0"/>
          <w:bCs/>
          <w:kern w:val="0"/>
          <w:sz w:val="32"/>
          <w:szCs w:val="32"/>
          <w:lang w:eastAsia="zh-CN"/>
        </w:rPr>
        <w:t> ；政府基金预算财政拨款收入</w:t>
      </w:r>
      <w:r>
        <w:rPr>
          <w:rFonts w:hint="eastAsia" w:ascii="仿宋_GB2312" w:eastAsia="仿宋_GB2312" w:cs="仿宋_GB2312"/>
          <w:b w:val="0"/>
          <w:bCs/>
          <w:kern w:val="0"/>
          <w:sz w:val="32"/>
          <w:szCs w:val="32"/>
          <w:lang w:val="en-US" w:eastAsia="zh-CN"/>
        </w:rPr>
        <w:t>120.98万元；占比1.52%；</w:t>
      </w:r>
      <w:r>
        <w:rPr>
          <w:rFonts w:hint="eastAsia" w:ascii="仿宋_GB2312" w:eastAsia="仿宋_GB2312" w:cs="仿宋_GB2312"/>
          <w:b w:val="0"/>
          <w:bCs/>
          <w:kern w:val="0"/>
          <w:sz w:val="32"/>
          <w:szCs w:val="32"/>
          <w:lang w:eastAsia="zh-CN"/>
        </w:rPr>
        <w:t>其他收入</w:t>
      </w:r>
      <w:r>
        <w:rPr>
          <w:rFonts w:hint="eastAsia" w:ascii="仿宋_GB2312" w:eastAsia="仿宋_GB2312" w:cs="仿宋_GB2312"/>
          <w:b w:val="0"/>
          <w:bCs/>
          <w:kern w:val="0"/>
          <w:sz w:val="32"/>
          <w:szCs w:val="32"/>
          <w:lang w:val="en-US" w:eastAsia="zh-CN"/>
        </w:rPr>
        <w:t>0.63</w:t>
      </w:r>
      <w:r>
        <w:rPr>
          <w:rFonts w:hint="eastAsia" w:ascii="仿宋_GB2312" w:eastAsia="仿宋_GB2312" w:cs="仿宋_GB2312"/>
          <w:b w:val="0"/>
          <w:bCs/>
          <w:kern w:val="0"/>
          <w:sz w:val="32"/>
          <w:szCs w:val="32"/>
          <w:lang w:eastAsia="zh-CN"/>
        </w:rPr>
        <w:t>万元，占比</w:t>
      </w:r>
      <w:r>
        <w:rPr>
          <w:rFonts w:hint="eastAsia" w:ascii="仿宋_GB2312" w:eastAsia="仿宋_GB2312" w:cs="仿宋_GB2312"/>
          <w:b w:val="0"/>
          <w:bCs/>
          <w:kern w:val="0"/>
          <w:sz w:val="32"/>
          <w:szCs w:val="32"/>
          <w:lang w:val="en-US" w:eastAsia="zh-CN"/>
        </w:rPr>
        <w:t>0.01%；上年结转结余1100.86万元，占比13.85%。</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本年支出合计</w:t>
      </w:r>
      <w:r>
        <w:rPr>
          <w:rFonts w:hint="eastAsia" w:ascii="仿宋_GB2312" w:eastAsia="仿宋_GB2312" w:cs="仿宋_GB2312"/>
          <w:b w:val="0"/>
          <w:bCs/>
          <w:kern w:val="0"/>
          <w:sz w:val="32"/>
          <w:szCs w:val="32"/>
          <w:lang w:val="en-US" w:eastAsia="zh-CN"/>
        </w:rPr>
        <w:t>7272.36</w:t>
      </w:r>
      <w:r>
        <w:rPr>
          <w:rFonts w:hint="eastAsia" w:ascii="仿宋_GB2312" w:eastAsia="仿宋_GB2312" w:cs="仿宋_GB2312"/>
          <w:b w:val="0"/>
          <w:bCs/>
          <w:kern w:val="0"/>
          <w:sz w:val="32"/>
          <w:szCs w:val="32"/>
        </w:rPr>
        <w:t xml:space="preserve">万元，其中：基本支出 </w:t>
      </w:r>
      <w:r>
        <w:rPr>
          <w:rFonts w:hint="eastAsia" w:ascii="仿宋_GB2312" w:eastAsia="仿宋_GB2312" w:cs="仿宋_GB2312"/>
          <w:b w:val="0"/>
          <w:bCs/>
          <w:kern w:val="0"/>
          <w:sz w:val="32"/>
          <w:szCs w:val="32"/>
          <w:lang w:val="en-US" w:eastAsia="zh-CN"/>
        </w:rPr>
        <w:t>2748.35</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eastAsia="zh-CN"/>
        </w:rPr>
        <w:t>比</w:t>
      </w:r>
      <w:r>
        <w:rPr>
          <w:rFonts w:hint="eastAsia" w:ascii="仿宋_GB2312" w:eastAsia="仿宋_GB2312" w:cs="仿宋_GB2312"/>
          <w:b w:val="0"/>
          <w:bCs/>
          <w:kern w:val="0"/>
          <w:sz w:val="32"/>
          <w:szCs w:val="32"/>
          <w:lang w:val="en-US" w:eastAsia="zh-CN"/>
        </w:rPr>
        <w:t>37.79</w:t>
      </w:r>
      <w:r>
        <w:rPr>
          <w:rFonts w:hint="eastAsia" w:ascii="仿宋_GB2312" w:eastAsia="仿宋_GB2312" w:cs="仿宋_GB2312"/>
          <w:b w:val="0"/>
          <w:bCs/>
          <w:kern w:val="0"/>
          <w:sz w:val="32"/>
          <w:szCs w:val="32"/>
        </w:rPr>
        <w:t>%；项目支出</w:t>
      </w:r>
      <w:r>
        <w:rPr>
          <w:rFonts w:hint="eastAsia" w:ascii="仿宋_GB2312" w:eastAsia="仿宋_GB2312" w:cs="仿宋_GB2312"/>
          <w:b w:val="0"/>
          <w:bCs/>
          <w:kern w:val="0"/>
          <w:sz w:val="32"/>
          <w:szCs w:val="32"/>
          <w:lang w:val="en-US" w:eastAsia="zh-CN"/>
        </w:rPr>
        <w:t>4524.01</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占</w:t>
      </w:r>
      <w:r>
        <w:rPr>
          <w:rFonts w:hint="eastAsia" w:ascii="仿宋_GB2312" w:eastAsia="仿宋_GB2312" w:cs="仿宋_GB2312"/>
          <w:b w:val="0"/>
          <w:bCs/>
          <w:kern w:val="0"/>
          <w:sz w:val="32"/>
          <w:szCs w:val="32"/>
          <w:lang w:eastAsia="zh-CN"/>
        </w:rPr>
        <w:t>比</w:t>
      </w:r>
      <w:r>
        <w:rPr>
          <w:rFonts w:hint="eastAsia" w:ascii="仿宋_GB2312" w:eastAsia="仿宋_GB2312" w:cs="仿宋_GB2312"/>
          <w:b w:val="0"/>
          <w:bCs/>
          <w:kern w:val="0"/>
          <w:sz w:val="32"/>
          <w:szCs w:val="32"/>
          <w:lang w:val="en-US" w:eastAsia="zh-CN"/>
        </w:rPr>
        <w:t>62.21</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年度财政拨款收、支总决算7914.52万元、7914.52万元。与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720.48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8.34</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年度财政拨款支出7144.83万元，占本年支出合计的</w:t>
      </w:r>
      <w:r>
        <w:rPr>
          <w:rFonts w:hint="eastAsia" w:ascii="仿宋_GB2312" w:eastAsia="仿宋_GB2312" w:cs="仿宋_GB2312"/>
          <w:bCs/>
          <w:kern w:val="0"/>
          <w:sz w:val="32"/>
          <w:szCs w:val="32"/>
          <w:lang w:val="en-US" w:eastAsia="zh-CN"/>
        </w:rPr>
        <w:t>98.25</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w:t>
      </w:r>
      <w:r>
        <w:rPr>
          <w:rFonts w:hint="eastAsia" w:ascii="仿宋_GB2312" w:eastAsia="仿宋_GB2312" w:cs="仿宋_GB2312"/>
          <w:bCs/>
          <w:kern w:val="0"/>
          <w:sz w:val="32"/>
          <w:szCs w:val="32"/>
          <w:lang w:val="en-US" w:eastAsia="zh-CN"/>
        </w:rPr>
        <w:t>2775.24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63.51</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（二）财政拨款支出决算结构情况</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 7144.83万元，主要用于以下方面：一般公共服务（类）支出2387.01万元，占</w:t>
      </w:r>
      <w:r>
        <w:rPr>
          <w:rFonts w:hint="eastAsia" w:ascii="仿宋_GB2312" w:eastAsia="仿宋_GB2312" w:cs="仿宋_GB2312"/>
          <w:bCs/>
          <w:kern w:val="0"/>
          <w:sz w:val="32"/>
          <w:szCs w:val="32"/>
          <w:lang w:val="en-US" w:eastAsia="zh-CN"/>
        </w:rPr>
        <w:t>33.41</w:t>
      </w:r>
      <w:r>
        <w:rPr>
          <w:rFonts w:hint="eastAsia" w:ascii="仿宋_GB2312" w:eastAsia="仿宋_GB2312" w:cs="仿宋_GB2312"/>
          <w:bCs/>
          <w:kern w:val="0"/>
          <w:sz w:val="32"/>
          <w:szCs w:val="32"/>
        </w:rPr>
        <w:t>%； 社会保障和就业（类）支出</w:t>
      </w:r>
      <w:r>
        <w:rPr>
          <w:rFonts w:hint="eastAsia" w:ascii="仿宋_GB2312" w:eastAsia="仿宋_GB2312" w:cs="仿宋_GB2312"/>
          <w:bCs/>
          <w:kern w:val="0"/>
          <w:sz w:val="32"/>
          <w:szCs w:val="32"/>
          <w:lang w:val="en-US" w:eastAsia="zh-CN"/>
        </w:rPr>
        <w:t>455.02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6.37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328.36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城乡社区（类）支出</w:t>
      </w:r>
      <w:r>
        <w:rPr>
          <w:rFonts w:hint="eastAsia" w:ascii="仿宋_GB2312" w:eastAsia="仿宋_GB2312" w:cs="仿宋_GB2312"/>
          <w:bCs/>
          <w:kern w:val="0"/>
          <w:sz w:val="32"/>
          <w:szCs w:val="32"/>
          <w:lang w:val="en-US" w:eastAsia="zh-CN"/>
        </w:rPr>
        <w:t>677.28万元，占9.48%；农林水（类）支出12.41万元，占0.17%；交通运输（类）支出199.77万元，占2.8%；资源勘探信息（类）支出132.9万元，占1.86%；商业服务业（类）支出232万元，占3.25%；</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179.68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占</w:t>
      </w:r>
      <w:r>
        <w:rPr>
          <w:rFonts w:hint="eastAsia" w:ascii="仿宋_GB2312" w:eastAsia="仿宋_GB2312" w:cs="仿宋_GB2312"/>
          <w:bCs/>
          <w:kern w:val="0"/>
          <w:sz w:val="32"/>
          <w:szCs w:val="32"/>
          <w:lang w:val="en-US" w:eastAsia="zh-CN"/>
        </w:rPr>
        <w:t>2.51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；粮油物资储备（类）支出</w:t>
      </w:r>
      <w:r>
        <w:rPr>
          <w:rFonts w:hint="eastAsia" w:ascii="仿宋_GB2312" w:eastAsia="仿宋_GB2312" w:cs="仿宋_GB2312"/>
          <w:bCs/>
          <w:kern w:val="0"/>
          <w:sz w:val="32"/>
          <w:szCs w:val="32"/>
          <w:lang w:val="en-US" w:eastAsia="zh-CN"/>
        </w:rPr>
        <w:t>2540.4万元，占35.56%。</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rPr>
        <w:t xml:space="preserve"> 2019年本部门公共预算支出决算数</w:t>
      </w:r>
      <w:r>
        <w:rPr>
          <w:rFonts w:hint="eastAsia" w:ascii="仿宋_GB2312" w:hAnsi="Times New Roman" w:eastAsia="仿宋_GB2312" w:cs="仿宋_GB2312"/>
          <w:bCs/>
          <w:kern w:val="0"/>
          <w:sz w:val="32"/>
          <w:szCs w:val="32"/>
          <w:lang w:val="en-US" w:eastAsia="zh-CN"/>
        </w:rPr>
        <w:t>7144.84</w:t>
      </w:r>
      <w:r>
        <w:rPr>
          <w:rFonts w:hint="eastAsia" w:ascii="仿宋_GB2312" w:hAnsi="Times New Roman" w:eastAsia="仿宋_GB2312" w:cs="仿宋_GB2312"/>
          <w:bCs/>
          <w:kern w:val="0"/>
          <w:sz w:val="32"/>
          <w:szCs w:val="32"/>
        </w:rPr>
        <w:t>万元，其中：</w:t>
      </w:r>
    </w:p>
    <w:p>
      <w:pPr>
        <w:autoSpaceDE w:val="0"/>
        <w:autoSpaceDN w:val="0"/>
        <w:adjustRightInd w:val="0"/>
        <w:spacing w:line="560" w:lineRule="exact"/>
        <w:ind w:firstLine="640" w:firstLineChars="200"/>
        <w:jc w:val="left"/>
        <w:rPr>
          <w:rFonts w:hint="default"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rPr>
        <w:t>1、201类04款01项行政运行</w:t>
      </w:r>
      <w:r>
        <w:rPr>
          <w:rFonts w:hint="eastAsia" w:ascii="仿宋_GB2312" w:hAnsi="Times New Roman" w:eastAsia="仿宋_GB2312" w:cs="仿宋_GB2312"/>
          <w:bCs/>
          <w:kern w:val="0"/>
          <w:sz w:val="32"/>
          <w:szCs w:val="32"/>
          <w:lang w:eastAsia="zh-CN"/>
        </w:rPr>
        <w:t>（发展</w:t>
      </w:r>
      <w:r>
        <w:rPr>
          <w:rFonts w:hint="eastAsia" w:ascii="仿宋_GB2312" w:eastAsia="仿宋_GB2312" w:cs="仿宋_GB2312"/>
          <w:bCs/>
          <w:kern w:val="0"/>
          <w:sz w:val="32"/>
          <w:szCs w:val="32"/>
          <w:lang w:val="en-US" w:eastAsia="zh-CN"/>
        </w:rPr>
        <w:t>与</w:t>
      </w:r>
      <w:r>
        <w:rPr>
          <w:rFonts w:hint="eastAsia" w:ascii="仿宋_GB2312" w:hAnsi="Times New Roman" w:eastAsia="仿宋_GB2312" w:cs="仿宋_GB2312"/>
          <w:bCs/>
          <w:kern w:val="0"/>
          <w:sz w:val="32"/>
          <w:szCs w:val="32"/>
          <w:lang w:eastAsia="zh-CN"/>
        </w:rPr>
        <w:t>改革事务）</w:t>
      </w:r>
      <w:r>
        <w:rPr>
          <w:rFonts w:hint="eastAsia" w:ascii="仿宋_GB2312" w:hAnsi="Times New Roman" w:eastAsia="仿宋_GB2312" w:cs="仿宋_GB2312"/>
          <w:bCs/>
          <w:kern w:val="0"/>
          <w:sz w:val="32"/>
          <w:szCs w:val="32"/>
          <w:lang w:val="en-US" w:eastAsia="zh-CN"/>
        </w:rPr>
        <w:t>1419.21</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1443.42</w:t>
      </w:r>
      <w:r>
        <w:rPr>
          <w:rFonts w:hint="eastAsia" w:ascii="仿宋_GB2312" w:hAnsi="Times New Roman" w:eastAsia="仿宋_GB2312" w:cs="仿宋_GB2312"/>
          <w:bCs/>
          <w:kern w:val="0"/>
          <w:sz w:val="32"/>
          <w:szCs w:val="32"/>
        </w:rPr>
        <w:t>万元相比，少24.21万元，为年度预算的</w:t>
      </w:r>
      <w:r>
        <w:rPr>
          <w:rFonts w:hint="eastAsia" w:ascii="仿宋_GB2312" w:hAnsi="Times New Roman" w:eastAsia="仿宋_GB2312" w:cs="仿宋_GB2312"/>
          <w:bCs/>
          <w:kern w:val="0"/>
          <w:sz w:val="32"/>
          <w:szCs w:val="32"/>
          <w:lang w:val="en-US" w:eastAsia="zh-CN"/>
        </w:rPr>
        <w:t>98.32</w:t>
      </w:r>
      <w:r>
        <w:rPr>
          <w:rFonts w:hint="eastAsia" w:ascii="仿宋_GB2312" w:hAnsi="Times New Roman" w:eastAsia="仿宋_GB2312" w:cs="仿宋_GB2312"/>
          <w:bCs/>
          <w:kern w:val="0"/>
          <w:sz w:val="32"/>
          <w:szCs w:val="32"/>
        </w:rPr>
        <w:t>%。决算数与年度预算数存在差异原因如下：</w:t>
      </w:r>
      <w:r>
        <w:rPr>
          <w:rFonts w:hint="eastAsia" w:ascii="仿宋_GB2312" w:hAnsi="Times New Roman" w:eastAsia="仿宋_GB2312" w:cs="仿宋_GB2312"/>
          <w:bCs/>
          <w:kern w:val="0"/>
          <w:sz w:val="32"/>
          <w:szCs w:val="32"/>
          <w:lang w:eastAsia="zh-CN"/>
        </w:rPr>
        <w:t>年底增人增资伙食补助下达较晚，暂未用完，预计</w:t>
      </w:r>
      <w:r>
        <w:rPr>
          <w:rFonts w:hint="eastAsia" w:ascii="仿宋_GB2312" w:hAnsi="Times New Roman" w:eastAsia="仿宋_GB2312" w:cs="仿宋_GB2312"/>
          <w:bCs/>
          <w:kern w:val="0"/>
          <w:sz w:val="32"/>
          <w:szCs w:val="32"/>
          <w:lang w:val="en-US" w:eastAsia="zh-CN"/>
        </w:rPr>
        <w:t>2020年可以完成支付；2019年绩效奖增补由于我委年底有人员退休，人员调出等情况，故绩效奖有一定结余，2020年可以完成支付。</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rPr>
        <w:t>2、201类04款02项一般行政管理事务</w:t>
      </w:r>
      <w:r>
        <w:rPr>
          <w:rFonts w:hint="eastAsia" w:ascii="仿宋_GB2312" w:hAnsi="Times New Roman" w:eastAsia="仿宋_GB2312" w:cs="仿宋_GB2312"/>
          <w:bCs/>
          <w:kern w:val="0"/>
          <w:sz w:val="32"/>
          <w:szCs w:val="32"/>
          <w:lang w:eastAsia="zh-CN"/>
        </w:rPr>
        <w:t>（发展与改革事务）</w:t>
      </w:r>
      <w:r>
        <w:rPr>
          <w:rFonts w:hint="eastAsia" w:ascii="仿宋_GB2312" w:hAnsi="Times New Roman" w:eastAsia="仿宋_GB2312" w:cs="仿宋_GB2312"/>
          <w:bCs/>
          <w:kern w:val="0"/>
          <w:sz w:val="32"/>
          <w:szCs w:val="32"/>
          <w:lang w:val="en-US" w:eastAsia="zh-CN"/>
        </w:rPr>
        <w:t>172.14</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218.64</w:t>
      </w:r>
      <w:r>
        <w:rPr>
          <w:rFonts w:hint="eastAsia" w:ascii="仿宋_GB2312" w:hAnsi="Times New Roman" w:eastAsia="仿宋_GB2312" w:cs="仿宋_GB2312"/>
          <w:bCs/>
          <w:kern w:val="0"/>
          <w:sz w:val="32"/>
          <w:szCs w:val="32"/>
        </w:rPr>
        <w:t>万元相比，少46.5万元，为年度预算的</w:t>
      </w:r>
      <w:r>
        <w:rPr>
          <w:rFonts w:hint="eastAsia" w:ascii="仿宋_GB2312" w:hAnsi="Times New Roman" w:eastAsia="仿宋_GB2312" w:cs="仿宋_GB2312"/>
          <w:bCs/>
          <w:kern w:val="0"/>
          <w:sz w:val="32"/>
          <w:szCs w:val="32"/>
          <w:lang w:val="en-US" w:eastAsia="zh-CN"/>
        </w:rPr>
        <w:t>78.73</w:t>
      </w:r>
      <w:r>
        <w:rPr>
          <w:rFonts w:hint="eastAsia" w:ascii="仿宋_GB2312" w:hAnsi="Times New Roman" w:eastAsia="仿宋_GB2312" w:cs="仿宋_GB2312"/>
          <w:bCs/>
          <w:kern w:val="0"/>
          <w:sz w:val="32"/>
          <w:szCs w:val="32"/>
        </w:rPr>
        <w:t>%。决算数与年度预算数存在差异原因如下：</w:t>
      </w:r>
      <w:r>
        <w:rPr>
          <w:rFonts w:hint="eastAsia" w:ascii="仿宋_GB2312" w:hAnsi="Times New Roman" w:eastAsia="仿宋_GB2312" w:cs="仿宋_GB2312"/>
          <w:bCs/>
          <w:kern w:val="0"/>
          <w:sz w:val="32"/>
          <w:szCs w:val="32"/>
          <w:lang w:eastAsia="zh-CN"/>
        </w:rPr>
        <w:t>主要</w:t>
      </w:r>
      <w:r>
        <w:rPr>
          <w:rFonts w:hint="eastAsia" w:ascii="仿宋_GB2312" w:hAnsi="Times New Roman" w:eastAsia="仿宋_GB2312" w:cs="仿宋_GB2312"/>
          <w:bCs/>
          <w:kern w:val="0"/>
          <w:sz w:val="32"/>
          <w:szCs w:val="32"/>
          <w:lang w:val="en-US" w:eastAsia="zh-CN"/>
        </w:rPr>
        <w:t>由于我委经济动员办工作经费2019年根据合同进度未完成支付。预计2020年完成支付。</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rPr>
        <w:t>3、201类04款</w:t>
      </w:r>
      <w:r>
        <w:rPr>
          <w:rFonts w:hint="eastAsia" w:ascii="仿宋_GB2312" w:hAnsi="Times New Roman" w:eastAsia="仿宋_GB2312" w:cs="仿宋_GB2312"/>
          <w:bCs/>
          <w:kern w:val="0"/>
          <w:sz w:val="32"/>
          <w:szCs w:val="32"/>
          <w:lang w:val="en-US" w:eastAsia="zh-CN"/>
        </w:rPr>
        <w:t>08</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物价管理</w:t>
      </w:r>
      <w:r>
        <w:rPr>
          <w:rFonts w:hint="eastAsia" w:ascii="仿宋_GB2312" w:hAnsi="Times New Roman" w:eastAsia="仿宋_GB2312" w:cs="仿宋_GB2312"/>
          <w:bCs/>
          <w:kern w:val="0"/>
          <w:sz w:val="32"/>
          <w:szCs w:val="32"/>
          <w:lang w:val="en-US" w:eastAsia="zh-CN"/>
        </w:rPr>
        <w:t>233.62</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274.59</w:t>
      </w:r>
      <w:r>
        <w:rPr>
          <w:rFonts w:hint="eastAsia" w:ascii="仿宋_GB2312" w:hAnsi="Times New Roman" w:eastAsia="仿宋_GB2312" w:cs="仿宋_GB2312"/>
          <w:bCs/>
          <w:kern w:val="0"/>
          <w:sz w:val="32"/>
          <w:szCs w:val="32"/>
        </w:rPr>
        <w:t>万元相比，少40.97万元，为年度预算的</w:t>
      </w:r>
      <w:r>
        <w:rPr>
          <w:rFonts w:hint="eastAsia" w:ascii="仿宋_GB2312" w:hAnsi="Times New Roman" w:eastAsia="仿宋_GB2312" w:cs="仿宋_GB2312"/>
          <w:bCs/>
          <w:kern w:val="0"/>
          <w:sz w:val="32"/>
          <w:szCs w:val="32"/>
          <w:lang w:val="en-US" w:eastAsia="zh-CN"/>
        </w:rPr>
        <w:t>85.08</w:t>
      </w:r>
      <w:r>
        <w:rPr>
          <w:rFonts w:hint="eastAsia" w:ascii="仿宋_GB2312" w:hAnsi="Times New Roman" w:eastAsia="仿宋_GB2312" w:cs="仿宋_GB2312"/>
          <w:bCs/>
          <w:kern w:val="0"/>
          <w:sz w:val="32"/>
          <w:szCs w:val="32"/>
        </w:rPr>
        <w:t>%。决算数与年度预</w:t>
      </w:r>
      <w:r>
        <w:rPr>
          <w:rFonts w:hint="eastAsia" w:ascii="仿宋_GB2312" w:hAnsi="Times New Roman" w:eastAsia="仿宋_GB2312" w:cs="仿宋_GB2312"/>
          <w:bCs/>
          <w:kern w:val="0"/>
          <w:sz w:val="32"/>
          <w:szCs w:val="32"/>
          <w:lang w:eastAsia="zh-CN"/>
        </w:rPr>
        <w:t>算数存在差异原因如下：由于机构改革原物价局并入我委经费较晚下达，故其相关物价管理工作经费未完成使用。预计</w:t>
      </w:r>
      <w:r>
        <w:rPr>
          <w:rFonts w:hint="eastAsia" w:ascii="仿宋_GB2312" w:hAnsi="Times New Roman" w:eastAsia="仿宋_GB2312" w:cs="仿宋_GB2312"/>
          <w:bCs/>
          <w:kern w:val="0"/>
          <w:sz w:val="32"/>
          <w:szCs w:val="32"/>
          <w:lang w:val="en-US" w:eastAsia="zh-CN"/>
        </w:rPr>
        <w:t>2020年完成支付。</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rPr>
      </w:pPr>
      <w:r>
        <w:rPr>
          <w:rFonts w:hint="eastAsia" w:ascii="仿宋_GB2312" w:hAnsi="Times New Roman" w:eastAsia="仿宋_GB2312" w:cs="仿宋_GB2312"/>
          <w:bCs/>
          <w:kern w:val="0"/>
          <w:sz w:val="32"/>
          <w:szCs w:val="32"/>
          <w:lang w:val="en-US" w:eastAsia="zh-CN"/>
        </w:rPr>
        <w:t>4</w:t>
      </w:r>
      <w:r>
        <w:rPr>
          <w:rFonts w:hint="eastAsia" w:ascii="仿宋_GB2312" w:hAnsi="Times New Roman" w:eastAsia="仿宋_GB2312" w:cs="仿宋_GB2312"/>
          <w:bCs/>
          <w:kern w:val="0"/>
          <w:sz w:val="32"/>
          <w:szCs w:val="32"/>
        </w:rPr>
        <w:t>、201类04款</w:t>
      </w:r>
      <w:r>
        <w:rPr>
          <w:rFonts w:hint="eastAsia" w:ascii="仿宋_GB2312" w:hAnsi="Times New Roman" w:eastAsia="仿宋_GB2312" w:cs="仿宋_GB2312"/>
          <w:bCs/>
          <w:kern w:val="0"/>
          <w:sz w:val="32"/>
          <w:szCs w:val="32"/>
          <w:lang w:val="en-US" w:eastAsia="zh-CN"/>
        </w:rPr>
        <w:t>99</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val="en-US" w:eastAsia="zh-CN"/>
        </w:rPr>
        <w:t>其他发展与改革事务556.03万元：</w:t>
      </w:r>
      <w:r>
        <w:rPr>
          <w:rFonts w:hint="eastAsia" w:ascii="仿宋_GB2312" w:hAnsi="Times New Roman" w:eastAsia="仿宋_GB2312" w:cs="仿宋_GB2312"/>
          <w:bCs/>
          <w:kern w:val="0"/>
          <w:sz w:val="32"/>
          <w:szCs w:val="32"/>
        </w:rPr>
        <w:t>与年度预算</w:t>
      </w:r>
      <w:r>
        <w:rPr>
          <w:rFonts w:hint="eastAsia" w:ascii="仿宋_GB2312" w:hAnsi="Times New Roman" w:eastAsia="仿宋_GB2312" w:cs="仿宋_GB2312"/>
          <w:bCs/>
          <w:kern w:val="0"/>
          <w:sz w:val="32"/>
          <w:szCs w:val="32"/>
          <w:lang w:val="en-US" w:eastAsia="zh-CN"/>
        </w:rPr>
        <w:t>583.63</w:t>
      </w:r>
      <w:r>
        <w:rPr>
          <w:rFonts w:hint="eastAsia" w:ascii="仿宋_GB2312" w:hAnsi="Times New Roman" w:eastAsia="仿宋_GB2312" w:cs="仿宋_GB2312"/>
          <w:bCs/>
          <w:kern w:val="0"/>
          <w:sz w:val="32"/>
          <w:szCs w:val="32"/>
        </w:rPr>
        <w:t>万元相比，少27.6万元，为年度预算的</w:t>
      </w:r>
      <w:r>
        <w:rPr>
          <w:rFonts w:hint="eastAsia" w:ascii="仿宋_GB2312" w:hAnsi="Times New Roman" w:eastAsia="仿宋_GB2312" w:cs="仿宋_GB2312"/>
          <w:bCs/>
          <w:kern w:val="0"/>
          <w:sz w:val="32"/>
          <w:szCs w:val="32"/>
          <w:lang w:val="en-US" w:eastAsia="zh-CN"/>
        </w:rPr>
        <w:t>95.27</w:t>
      </w:r>
      <w:r>
        <w:rPr>
          <w:rFonts w:hint="eastAsia" w:ascii="仿宋_GB2312" w:hAnsi="Times New Roman" w:eastAsia="仿宋_GB2312" w:cs="仿宋_GB2312"/>
          <w:bCs/>
          <w:kern w:val="0"/>
          <w:sz w:val="32"/>
          <w:szCs w:val="32"/>
        </w:rPr>
        <w:t>%。决算数与年度预</w:t>
      </w:r>
      <w:r>
        <w:rPr>
          <w:rFonts w:hint="eastAsia" w:ascii="仿宋_GB2312" w:hAnsi="Times New Roman" w:eastAsia="仿宋_GB2312" w:cs="仿宋_GB2312"/>
          <w:bCs/>
          <w:kern w:val="0"/>
          <w:sz w:val="32"/>
          <w:szCs w:val="32"/>
          <w:lang w:val="en-US" w:eastAsia="zh-CN"/>
        </w:rPr>
        <w:t>算数存在差异原因如下：主要由于我委重大项目精细化管理项目经费2019年根据合同进度未完成支付。预计2020年完成支付。</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5</w:t>
      </w:r>
      <w:r>
        <w:rPr>
          <w:rFonts w:hint="eastAsia" w:ascii="仿宋_GB2312" w:hAnsi="Times New Roman" w:eastAsia="仿宋_GB2312" w:cs="仿宋_GB2312"/>
          <w:bCs/>
          <w:kern w:val="0"/>
          <w:sz w:val="32"/>
          <w:szCs w:val="32"/>
        </w:rPr>
        <w:t>、201类</w:t>
      </w:r>
      <w:r>
        <w:rPr>
          <w:rFonts w:hint="eastAsia" w:ascii="仿宋_GB2312" w:hAnsi="Times New Roman" w:eastAsia="仿宋_GB2312" w:cs="仿宋_GB2312"/>
          <w:bCs/>
          <w:kern w:val="0"/>
          <w:sz w:val="32"/>
          <w:szCs w:val="32"/>
          <w:lang w:val="en-US" w:eastAsia="zh-CN"/>
        </w:rPr>
        <w:t>13</w:t>
      </w:r>
      <w:r>
        <w:rPr>
          <w:rFonts w:hint="eastAsia" w:ascii="仿宋_GB2312" w:hAnsi="Times New Roman" w:eastAsia="仿宋_GB2312" w:cs="仿宋_GB2312"/>
          <w:bCs/>
          <w:kern w:val="0"/>
          <w:sz w:val="32"/>
          <w:szCs w:val="32"/>
        </w:rPr>
        <w:t>款</w:t>
      </w:r>
      <w:r>
        <w:rPr>
          <w:rFonts w:hint="eastAsia" w:ascii="仿宋_GB2312" w:hAnsi="Times New Roman" w:eastAsia="仿宋_GB2312" w:cs="仿宋_GB2312"/>
          <w:bCs/>
          <w:kern w:val="0"/>
          <w:sz w:val="32"/>
          <w:szCs w:val="32"/>
          <w:lang w:val="en-US" w:eastAsia="zh-CN"/>
        </w:rPr>
        <w:t>99</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val="en-US" w:eastAsia="zh-CN"/>
        </w:rPr>
        <w:t>其他商贸事务支出6.02</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6.02</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default"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lang w:val="en-US" w:eastAsia="zh-CN"/>
        </w:rPr>
        <w:t>6</w:t>
      </w:r>
      <w:r>
        <w:rPr>
          <w:rFonts w:hint="eastAsia" w:ascii="仿宋_GB2312" w:hAnsi="Times New Roman" w:eastAsia="仿宋_GB2312" w:cs="仿宋_GB2312"/>
          <w:bCs/>
          <w:kern w:val="0"/>
          <w:sz w:val="32"/>
          <w:szCs w:val="32"/>
        </w:rPr>
        <w:t>、208类05款01项归口管理的行政单位离退休</w:t>
      </w:r>
      <w:r>
        <w:rPr>
          <w:rFonts w:hint="eastAsia" w:ascii="仿宋_GB2312" w:hAnsi="Times New Roman" w:eastAsia="仿宋_GB2312" w:cs="仿宋_GB2312"/>
          <w:bCs/>
          <w:kern w:val="0"/>
          <w:sz w:val="32"/>
          <w:szCs w:val="32"/>
          <w:lang w:val="en-US" w:eastAsia="zh-CN"/>
        </w:rPr>
        <w:t>120.19</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120.33</w:t>
      </w:r>
      <w:r>
        <w:rPr>
          <w:rFonts w:hint="eastAsia" w:ascii="仿宋_GB2312" w:hAnsi="Times New Roman" w:eastAsia="仿宋_GB2312" w:cs="仿宋_GB2312"/>
          <w:bCs/>
          <w:kern w:val="0"/>
          <w:sz w:val="32"/>
          <w:szCs w:val="32"/>
        </w:rPr>
        <w:t xml:space="preserve">万元相比，少 </w:t>
      </w:r>
      <w:r>
        <w:rPr>
          <w:rFonts w:hint="eastAsia" w:ascii="仿宋_GB2312" w:hAnsi="Times New Roman" w:eastAsia="仿宋_GB2312" w:cs="仿宋_GB2312"/>
          <w:bCs/>
          <w:kern w:val="0"/>
          <w:sz w:val="32"/>
          <w:szCs w:val="32"/>
          <w:lang w:val="en-US" w:eastAsia="zh-CN"/>
        </w:rPr>
        <w:t>0.14</w:t>
      </w:r>
      <w:r>
        <w:rPr>
          <w:rFonts w:hint="eastAsia" w:ascii="仿宋_GB2312" w:hAnsi="Times New Roman" w:eastAsia="仿宋_GB2312" w:cs="仿宋_GB2312"/>
          <w:bCs/>
          <w:kern w:val="0"/>
          <w:sz w:val="32"/>
          <w:szCs w:val="32"/>
        </w:rPr>
        <w:t>万元，为年度预算的</w:t>
      </w:r>
      <w:r>
        <w:rPr>
          <w:rFonts w:hint="eastAsia" w:ascii="仿宋_GB2312" w:hAnsi="Times New Roman" w:eastAsia="仿宋_GB2312" w:cs="仿宋_GB2312"/>
          <w:bCs/>
          <w:kern w:val="0"/>
          <w:sz w:val="32"/>
          <w:szCs w:val="32"/>
          <w:lang w:val="en-US" w:eastAsia="zh-CN"/>
        </w:rPr>
        <w:t>99.88</w:t>
      </w:r>
      <w:r>
        <w:rPr>
          <w:rFonts w:hint="eastAsia" w:ascii="仿宋_GB2312" w:hAnsi="Times New Roman" w:eastAsia="仿宋_GB2312" w:cs="仿宋_GB2312"/>
          <w:bCs/>
          <w:kern w:val="0"/>
          <w:sz w:val="32"/>
          <w:szCs w:val="32"/>
        </w:rPr>
        <w:t>%。决算数与年度预算数存在差异原因如下：</w:t>
      </w:r>
      <w:r>
        <w:rPr>
          <w:rFonts w:hint="eastAsia" w:ascii="仿宋_GB2312" w:hAnsi="Times New Roman" w:eastAsia="仿宋_GB2312" w:cs="仿宋_GB2312"/>
          <w:bCs/>
          <w:kern w:val="0"/>
          <w:sz w:val="32"/>
          <w:szCs w:val="32"/>
          <w:lang w:eastAsia="zh-CN"/>
        </w:rPr>
        <w:t>结余少量离退休公用经费未使用，</w:t>
      </w:r>
      <w:r>
        <w:rPr>
          <w:rFonts w:hint="eastAsia" w:ascii="仿宋_GB2312" w:hAnsi="Times New Roman" w:eastAsia="仿宋_GB2312" w:cs="仿宋_GB2312"/>
          <w:bCs/>
          <w:kern w:val="0"/>
          <w:sz w:val="32"/>
          <w:szCs w:val="32"/>
          <w:lang w:val="en-US" w:eastAsia="zh-CN"/>
        </w:rPr>
        <w:t>2020年已由财政收归国库。</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7</w:t>
      </w:r>
      <w:r>
        <w:rPr>
          <w:rFonts w:hint="eastAsia" w:ascii="仿宋_GB2312" w:hAnsi="Times New Roman" w:eastAsia="仿宋_GB2312" w:cs="仿宋_GB2312"/>
          <w:bCs/>
          <w:kern w:val="0"/>
          <w:sz w:val="32"/>
          <w:szCs w:val="32"/>
        </w:rPr>
        <w:t>、208类05款0</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事业单位</w:t>
      </w:r>
      <w:r>
        <w:rPr>
          <w:rFonts w:hint="eastAsia" w:ascii="仿宋_GB2312" w:hAnsi="Times New Roman" w:eastAsia="仿宋_GB2312" w:cs="仿宋_GB2312"/>
          <w:bCs/>
          <w:kern w:val="0"/>
          <w:sz w:val="32"/>
          <w:szCs w:val="32"/>
        </w:rPr>
        <w:t>离退休</w:t>
      </w:r>
      <w:r>
        <w:rPr>
          <w:rFonts w:hint="eastAsia" w:ascii="仿宋_GB2312" w:hAnsi="Times New Roman" w:eastAsia="仿宋_GB2312" w:cs="仿宋_GB2312"/>
          <w:bCs/>
          <w:kern w:val="0"/>
          <w:sz w:val="32"/>
          <w:szCs w:val="32"/>
          <w:lang w:val="en-US" w:eastAsia="zh-CN"/>
        </w:rPr>
        <w:t>3.72</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4.99</w:t>
      </w:r>
      <w:r>
        <w:rPr>
          <w:rFonts w:hint="eastAsia" w:ascii="仿宋_GB2312" w:hAnsi="Times New Roman" w:eastAsia="仿宋_GB2312" w:cs="仿宋_GB2312"/>
          <w:bCs/>
          <w:kern w:val="0"/>
          <w:sz w:val="32"/>
          <w:szCs w:val="32"/>
        </w:rPr>
        <w:t>万元相比，少</w:t>
      </w:r>
      <w:r>
        <w:rPr>
          <w:rFonts w:hint="eastAsia" w:ascii="仿宋_GB2312" w:hAnsi="Times New Roman" w:eastAsia="仿宋_GB2312" w:cs="仿宋_GB2312"/>
          <w:bCs/>
          <w:kern w:val="0"/>
          <w:sz w:val="32"/>
          <w:szCs w:val="32"/>
          <w:lang w:val="en-US" w:eastAsia="zh-CN"/>
        </w:rPr>
        <w:t>1.27</w:t>
      </w:r>
      <w:r>
        <w:rPr>
          <w:rFonts w:hint="eastAsia" w:ascii="仿宋_GB2312" w:hAnsi="Times New Roman" w:eastAsia="仿宋_GB2312" w:cs="仿宋_GB2312"/>
          <w:bCs/>
          <w:kern w:val="0"/>
          <w:sz w:val="32"/>
          <w:szCs w:val="32"/>
        </w:rPr>
        <w:t>万元，为年度预算的</w:t>
      </w:r>
      <w:r>
        <w:rPr>
          <w:rFonts w:hint="eastAsia" w:ascii="仿宋_GB2312" w:hAnsi="Times New Roman" w:eastAsia="仿宋_GB2312" w:cs="仿宋_GB2312"/>
          <w:bCs/>
          <w:kern w:val="0"/>
          <w:sz w:val="32"/>
          <w:szCs w:val="32"/>
          <w:lang w:val="en-US" w:eastAsia="zh-CN"/>
        </w:rPr>
        <w:t>74.55</w:t>
      </w:r>
      <w:r>
        <w:rPr>
          <w:rFonts w:hint="eastAsia" w:ascii="仿宋_GB2312" w:hAnsi="Times New Roman" w:eastAsia="仿宋_GB2312" w:cs="仿宋_GB2312"/>
          <w:bCs/>
          <w:kern w:val="0"/>
          <w:sz w:val="32"/>
          <w:szCs w:val="32"/>
        </w:rPr>
        <w:t>%。决算数与年度预算数存在差异原因如下：</w:t>
      </w:r>
      <w:r>
        <w:rPr>
          <w:rFonts w:hint="eastAsia" w:ascii="仿宋_GB2312" w:hAnsi="Times New Roman" w:eastAsia="仿宋_GB2312" w:cs="仿宋_GB2312"/>
          <w:bCs/>
          <w:kern w:val="0"/>
          <w:sz w:val="32"/>
          <w:szCs w:val="32"/>
          <w:lang w:eastAsia="zh-CN"/>
        </w:rPr>
        <w:t>该项经费为离退休</w:t>
      </w:r>
      <w:r>
        <w:rPr>
          <w:rFonts w:hint="eastAsia" w:ascii="仿宋_GB2312" w:hAnsi="Times New Roman" w:eastAsia="仿宋_GB2312" w:cs="仿宋_GB2312"/>
          <w:bCs/>
          <w:kern w:val="0"/>
          <w:sz w:val="32"/>
          <w:szCs w:val="32"/>
          <w:lang w:val="en-US" w:eastAsia="zh-CN"/>
        </w:rPr>
        <w:t>5%补助经费，财政局下达该项经费时间较晚无法当年列支。</w:t>
      </w:r>
      <w:r>
        <w:rPr>
          <w:rFonts w:hint="eastAsia" w:ascii="仿宋_GB2312" w:hAnsi="Times New Roman" w:eastAsia="仿宋_GB2312" w:cs="仿宋_GB2312"/>
          <w:bCs/>
          <w:kern w:val="0"/>
          <w:sz w:val="32"/>
          <w:szCs w:val="32"/>
          <w:lang w:eastAsia="zh-CN"/>
        </w:rPr>
        <w:t>计划结转到</w:t>
      </w:r>
      <w:r>
        <w:rPr>
          <w:rFonts w:hint="eastAsia" w:ascii="仿宋_GB2312" w:hAnsi="Times New Roman" w:eastAsia="仿宋_GB2312" w:cs="仿宋_GB2312"/>
          <w:bCs/>
          <w:kern w:val="0"/>
          <w:sz w:val="32"/>
          <w:szCs w:val="32"/>
          <w:lang w:val="en-US" w:eastAsia="zh-CN"/>
        </w:rPr>
        <w:t>2020年列支。</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lang w:val="en-US" w:eastAsia="zh-CN"/>
        </w:rPr>
        <w:t>8</w:t>
      </w:r>
      <w:r>
        <w:rPr>
          <w:rFonts w:hint="eastAsia" w:ascii="仿宋_GB2312" w:hAnsi="Times New Roman" w:eastAsia="仿宋_GB2312" w:cs="仿宋_GB2312"/>
          <w:bCs/>
          <w:kern w:val="0"/>
          <w:sz w:val="32"/>
          <w:szCs w:val="32"/>
        </w:rPr>
        <w:t>、208类05款0</w:t>
      </w:r>
      <w:r>
        <w:rPr>
          <w:rFonts w:hint="eastAsia" w:ascii="仿宋_GB2312" w:hAnsi="Times New Roman" w:eastAsia="仿宋_GB2312" w:cs="仿宋_GB2312"/>
          <w:bCs/>
          <w:kern w:val="0"/>
          <w:sz w:val="32"/>
          <w:szCs w:val="32"/>
          <w:lang w:val="en-US" w:eastAsia="zh-CN"/>
        </w:rPr>
        <w:t>5</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机关事业单位基本养老保险缴费支出</w:t>
      </w:r>
      <w:r>
        <w:rPr>
          <w:rFonts w:hint="eastAsia" w:ascii="仿宋_GB2312" w:hAnsi="Times New Roman" w:eastAsia="仿宋_GB2312" w:cs="仿宋_GB2312"/>
          <w:bCs/>
          <w:kern w:val="0"/>
          <w:sz w:val="32"/>
          <w:szCs w:val="32"/>
          <w:lang w:val="en-US" w:eastAsia="zh-CN"/>
        </w:rPr>
        <w:t>283.12</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283.12</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lang w:val="en-US" w:eastAsia="zh-CN"/>
        </w:rPr>
        <w:t>9</w:t>
      </w:r>
      <w:r>
        <w:rPr>
          <w:rFonts w:hint="eastAsia" w:ascii="仿宋_GB2312" w:hAnsi="Times New Roman" w:eastAsia="仿宋_GB2312" w:cs="仿宋_GB2312"/>
          <w:bCs/>
          <w:kern w:val="0"/>
          <w:sz w:val="32"/>
          <w:szCs w:val="32"/>
        </w:rPr>
        <w:t>、208类0</w:t>
      </w:r>
      <w:r>
        <w:rPr>
          <w:rFonts w:hint="eastAsia" w:ascii="仿宋_GB2312" w:hAnsi="Times New Roman" w:eastAsia="仿宋_GB2312" w:cs="仿宋_GB2312"/>
          <w:bCs/>
          <w:kern w:val="0"/>
          <w:sz w:val="32"/>
          <w:szCs w:val="32"/>
          <w:lang w:val="en-US" w:eastAsia="zh-CN"/>
        </w:rPr>
        <w:t>6</w:t>
      </w:r>
      <w:r>
        <w:rPr>
          <w:rFonts w:hint="eastAsia" w:ascii="仿宋_GB2312" w:hAnsi="Times New Roman" w:eastAsia="仿宋_GB2312" w:cs="仿宋_GB2312"/>
          <w:bCs/>
          <w:kern w:val="0"/>
          <w:sz w:val="32"/>
          <w:szCs w:val="32"/>
        </w:rPr>
        <w:t>款</w:t>
      </w:r>
      <w:r>
        <w:rPr>
          <w:rFonts w:hint="eastAsia" w:ascii="仿宋_GB2312" w:hAnsi="Times New Roman" w:eastAsia="仿宋_GB2312" w:cs="仿宋_GB2312"/>
          <w:bCs/>
          <w:kern w:val="0"/>
          <w:sz w:val="32"/>
          <w:szCs w:val="32"/>
          <w:lang w:val="en-US" w:eastAsia="zh-CN"/>
        </w:rPr>
        <w:t>99</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其他企业改革发展补助</w:t>
      </w:r>
      <w:r>
        <w:rPr>
          <w:rFonts w:hint="eastAsia" w:ascii="仿宋_GB2312" w:hAnsi="Times New Roman" w:eastAsia="仿宋_GB2312" w:cs="仿宋_GB2312"/>
          <w:bCs/>
          <w:kern w:val="0"/>
          <w:sz w:val="32"/>
          <w:szCs w:val="32"/>
          <w:lang w:val="en-US" w:eastAsia="zh-CN"/>
        </w:rPr>
        <w:t>48</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48</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10</w:t>
      </w:r>
      <w:r>
        <w:rPr>
          <w:rFonts w:hint="eastAsia" w:ascii="仿宋_GB2312" w:hAnsi="Times New Roman" w:eastAsia="仿宋_GB2312" w:cs="仿宋_GB2312"/>
          <w:bCs/>
          <w:kern w:val="0"/>
          <w:sz w:val="32"/>
          <w:szCs w:val="32"/>
        </w:rPr>
        <w:t>、210类</w:t>
      </w:r>
      <w:r>
        <w:rPr>
          <w:rFonts w:hint="eastAsia" w:ascii="仿宋_GB2312" w:hAnsi="Times New Roman" w:eastAsia="仿宋_GB2312" w:cs="仿宋_GB2312"/>
          <w:bCs/>
          <w:kern w:val="0"/>
          <w:sz w:val="32"/>
          <w:szCs w:val="32"/>
          <w:lang w:val="en-US" w:eastAsia="zh-CN"/>
        </w:rPr>
        <w:t>11</w:t>
      </w:r>
      <w:r>
        <w:rPr>
          <w:rFonts w:hint="eastAsia" w:ascii="仿宋_GB2312" w:hAnsi="Times New Roman" w:eastAsia="仿宋_GB2312" w:cs="仿宋_GB2312"/>
          <w:bCs/>
          <w:kern w:val="0"/>
          <w:sz w:val="32"/>
          <w:szCs w:val="32"/>
        </w:rPr>
        <w:t>款01项行政单位医疗</w:t>
      </w:r>
      <w:r>
        <w:rPr>
          <w:rFonts w:hint="eastAsia" w:ascii="仿宋_GB2312" w:hAnsi="Times New Roman" w:eastAsia="仿宋_GB2312" w:cs="仿宋_GB2312"/>
          <w:bCs/>
          <w:kern w:val="0"/>
          <w:sz w:val="32"/>
          <w:szCs w:val="32"/>
          <w:lang w:val="en-US" w:eastAsia="zh-CN"/>
        </w:rPr>
        <w:t>123.78</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123.78</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lang w:val="en-US" w:eastAsia="zh-CN"/>
        </w:rPr>
        <w:t>11</w:t>
      </w:r>
      <w:r>
        <w:rPr>
          <w:rFonts w:hint="eastAsia" w:ascii="仿宋_GB2312" w:hAnsi="Times New Roman" w:eastAsia="仿宋_GB2312" w:cs="仿宋_GB2312"/>
          <w:bCs/>
          <w:kern w:val="0"/>
          <w:sz w:val="32"/>
          <w:szCs w:val="32"/>
        </w:rPr>
        <w:t>、210类</w:t>
      </w:r>
      <w:r>
        <w:rPr>
          <w:rFonts w:hint="eastAsia" w:ascii="仿宋_GB2312" w:hAnsi="Times New Roman" w:eastAsia="仿宋_GB2312" w:cs="仿宋_GB2312"/>
          <w:bCs/>
          <w:kern w:val="0"/>
          <w:sz w:val="32"/>
          <w:szCs w:val="32"/>
          <w:lang w:val="en-US" w:eastAsia="zh-CN"/>
        </w:rPr>
        <w:t>11</w:t>
      </w:r>
      <w:r>
        <w:rPr>
          <w:rFonts w:hint="eastAsia" w:ascii="仿宋_GB2312" w:hAnsi="Times New Roman" w:eastAsia="仿宋_GB2312" w:cs="仿宋_GB2312"/>
          <w:bCs/>
          <w:kern w:val="0"/>
          <w:sz w:val="32"/>
          <w:szCs w:val="32"/>
        </w:rPr>
        <w:t>款0</w:t>
      </w:r>
      <w:r>
        <w:rPr>
          <w:rFonts w:hint="eastAsia" w:ascii="仿宋_GB2312" w:hAnsi="Times New Roman" w:eastAsia="仿宋_GB2312" w:cs="仿宋_GB2312"/>
          <w:bCs/>
          <w:kern w:val="0"/>
          <w:sz w:val="32"/>
          <w:szCs w:val="32"/>
          <w:lang w:val="en-US" w:eastAsia="zh-CN"/>
        </w:rPr>
        <w:t>3</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公务员医疗补助</w:t>
      </w:r>
      <w:r>
        <w:rPr>
          <w:rFonts w:hint="eastAsia" w:ascii="仿宋_GB2312" w:hAnsi="Times New Roman" w:eastAsia="仿宋_GB2312" w:cs="仿宋_GB2312"/>
          <w:bCs/>
          <w:kern w:val="0"/>
          <w:sz w:val="32"/>
          <w:szCs w:val="32"/>
          <w:lang w:val="en-US" w:eastAsia="zh-CN"/>
        </w:rPr>
        <w:t>203.48</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206.36</w:t>
      </w:r>
      <w:r>
        <w:rPr>
          <w:rFonts w:hint="eastAsia" w:ascii="仿宋_GB2312" w:hAnsi="Times New Roman" w:eastAsia="仿宋_GB2312" w:cs="仿宋_GB2312"/>
          <w:bCs/>
          <w:kern w:val="0"/>
          <w:sz w:val="32"/>
          <w:szCs w:val="32"/>
        </w:rPr>
        <w:t>万元相比，少</w:t>
      </w:r>
      <w:r>
        <w:rPr>
          <w:rFonts w:hint="eastAsia" w:ascii="仿宋_GB2312" w:hAnsi="Times New Roman" w:eastAsia="仿宋_GB2312" w:cs="仿宋_GB2312"/>
          <w:bCs/>
          <w:kern w:val="0"/>
          <w:sz w:val="32"/>
          <w:szCs w:val="32"/>
          <w:lang w:val="en-US" w:eastAsia="zh-CN"/>
        </w:rPr>
        <w:t>2.88</w:t>
      </w:r>
      <w:r>
        <w:rPr>
          <w:rFonts w:hint="eastAsia" w:ascii="仿宋_GB2312" w:hAnsi="Times New Roman" w:eastAsia="仿宋_GB2312" w:cs="仿宋_GB2312"/>
          <w:bCs/>
          <w:kern w:val="0"/>
          <w:sz w:val="32"/>
          <w:szCs w:val="32"/>
        </w:rPr>
        <w:t>万元，为年度预算的</w:t>
      </w:r>
      <w:r>
        <w:rPr>
          <w:rFonts w:hint="eastAsia" w:ascii="仿宋_GB2312" w:hAnsi="Times New Roman" w:eastAsia="仿宋_GB2312" w:cs="仿宋_GB2312"/>
          <w:bCs/>
          <w:kern w:val="0"/>
          <w:sz w:val="32"/>
          <w:szCs w:val="32"/>
          <w:lang w:val="en-US" w:eastAsia="zh-CN"/>
        </w:rPr>
        <w:t>98.6</w:t>
      </w:r>
      <w:r>
        <w:rPr>
          <w:rFonts w:hint="eastAsia" w:ascii="仿宋_GB2312" w:hAnsi="Times New Roman" w:eastAsia="仿宋_GB2312" w:cs="仿宋_GB2312"/>
          <w:bCs/>
          <w:kern w:val="0"/>
          <w:sz w:val="32"/>
          <w:szCs w:val="32"/>
        </w:rPr>
        <w:t>%。决算数与年度预算数存在差异原因如下：</w:t>
      </w:r>
      <w:r>
        <w:rPr>
          <w:rFonts w:hint="eastAsia" w:ascii="仿宋_GB2312" w:hAnsi="Times New Roman" w:eastAsia="仿宋_GB2312" w:cs="仿宋_GB2312"/>
          <w:bCs/>
          <w:kern w:val="0"/>
          <w:sz w:val="32"/>
          <w:szCs w:val="32"/>
          <w:lang w:eastAsia="zh-CN"/>
        </w:rPr>
        <w:t>按社保局所给数据缴纳公补，多出部分已由财政收回国库。</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12</w:t>
      </w:r>
      <w:r>
        <w:rPr>
          <w:rFonts w:hint="eastAsia" w:ascii="仿宋_GB2312" w:hAnsi="Times New Roman" w:eastAsia="仿宋_GB2312" w:cs="仿宋_GB2312"/>
          <w:bCs/>
          <w:kern w:val="0"/>
          <w:sz w:val="32"/>
          <w:szCs w:val="32"/>
        </w:rPr>
        <w:t>、210类</w:t>
      </w:r>
      <w:r>
        <w:rPr>
          <w:rFonts w:hint="eastAsia" w:ascii="仿宋_GB2312" w:hAnsi="Times New Roman" w:eastAsia="仿宋_GB2312" w:cs="仿宋_GB2312"/>
          <w:bCs/>
          <w:kern w:val="0"/>
          <w:sz w:val="32"/>
          <w:szCs w:val="32"/>
          <w:lang w:val="en-US" w:eastAsia="zh-CN"/>
        </w:rPr>
        <w:t>99</w:t>
      </w:r>
      <w:r>
        <w:rPr>
          <w:rFonts w:hint="eastAsia" w:ascii="仿宋_GB2312" w:hAnsi="Times New Roman" w:eastAsia="仿宋_GB2312" w:cs="仿宋_GB2312"/>
          <w:bCs/>
          <w:kern w:val="0"/>
          <w:sz w:val="32"/>
          <w:szCs w:val="32"/>
        </w:rPr>
        <w:t>款0</w:t>
      </w:r>
      <w:r>
        <w:rPr>
          <w:rFonts w:hint="eastAsia" w:ascii="仿宋_GB2312" w:hAnsi="Times New Roman" w:eastAsia="仿宋_GB2312" w:cs="仿宋_GB2312"/>
          <w:bCs/>
          <w:kern w:val="0"/>
          <w:sz w:val="32"/>
          <w:szCs w:val="32"/>
          <w:lang w:val="en-US" w:eastAsia="zh-CN"/>
        </w:rPr>
        <w:t>1</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val="en-US" w:eastAsia="zh-CN"/>
        </w:rPr>
        <w:t>其他卫生健康支出1.09</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1.09</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default"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lang w:val="en-US" w:eastAsia="zh-CN"/>
        </w:rPr>
        <w:t>13</w:t>
      </w:r>
      <w:r>
        <w:rPr>
          <w:rFonts w:hint="eastAsia" w:ascii="仿宋_GB2312" w:hAnsi="Times New Roman" w:eastAsia="仿宋_GB2312" w:cs="仿宋_GB2312"/>
          <w:bCs/>
          <w:kern w:val="0"/>
          <w:sz w:val="32"/>
          <w:szCs w:val="32"/>
        </w:rPr>
        <w:t>、212类02款01项城乡社区规划与管理</w:t>
      </w:r>
      <w:r>
        <w:rPr>
          <w:rFonts w:hint="eastAsia" w:ascii="仿宋_GB2312" w:hAnsi="Times New Roman" w:eastAsia="仿宋_GB2312" w:cs="仿宋_GB2312"/>
          <w:bCs/>
          <w:kern w:val="0"/>
          <w:sz w:val="32"/>
          <w:szCs w:val="32"/>
          <w:lang w:val="en-US" w:eastAsia="zh-CN"/>
        </w:rPr>
        <w:t>485.07</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985.82</w:t>
      </w:r>
      <w:r>
        <w:rPr>
          <w:rFonts w:hint="eastAsia" w:ascii="仿宋_GB2312" w:hAnsi="Times New Roman" w:eastAsia="仿宋_GB2312" w:cs="仿宋_GB2312"/>
          <w:bCs/>
          <w:kern w:val="0"/>
          <w:sz w:val="32"/>
          <w:szCs w:val="32"/>
        </w:rPr>
        <w:t>万元相比，少</w:t>
      </w:r>
      <w:r>
        <w:rPr>
          <w:rFonts w:hint="eastAsia" w:ascii="仿宋_GB2312" w:hAnsi="Times New Roman" w:eastAsia="仿宋_GB2312" w:cs="仿宋_GB2312"/>
          <w:bCs/>
          <w:kern w:val="0"/>
          <w:sz w:val="32"/>
          <w:szCs w:val="32"/>
          <w:lang w:val="en-US" w:eastAsia="zh-CN"/>
        </w:rPr>
        <w:t>500.75</w:t>
      </w:r>
      <w:r>
        <w:rPr>
          <w:rFonts w:hint="eastAsia" w:ascii="仿宋_GB2312" w:hAnsi="Times New Roman" w:eastAsia="仿宋_GB2312" w:cs="仿宋_GB2312"/>
          <w:bCs/>
          <w:kern w:val="0"/>
          <w:sz w:val="32"/>
          <w:szCs w:val="32"/>
        </w:rPr>
        <w:t>万元，为年度预算的</w:t>
      </w:r>
      <w:r>
        <w:rPr>
          <w:rFonts w:hint="eastAsia" w:ascii="仿宋_GB2312" w:hAnsi="Times New Roman" w:eastAsia="仿宋_GB2312" w:cs="仿宋_GB2312"/>
          <w:bCs/>
          <w:kern w:val="0"/>
          <w:sz w:val="32"/>
          <w:szCs w:val="32"/>
          <w:lang w:val="en-US" w:eastAsia="zh-CN"/>
        </w:rPr>
        <w:t>49.2</w:t>
      </w:r>
      <w:r>
        <w:rPr>
          <w:rFonts w:hint="eastAsia" w:ascii="仿宋_GB2312" w:hAnsi="Times New Roman" w:eastAsia="仿宋_GB2312" w:cs="仿宋_GB2312"/>
          <w:bCs/>
          <w:kern w:val="0"/>
          <w:sz w:val="32"/>
          <w:szCs w:val="32"/>
        </w:rPr>
        <w:t>%。决算数与年度预算数存在差异原因如下：</w:t>
      </w:r>
      <w:r>
        <w:rPr>
          <w:rFonts w:hint="eastAsia" w:ascii="仿宋_GB2312" w:hAnsi="Times New Roman" w:eastAsia="仿宋_GB2312" w:cs="仿宋_GB2312"/>
          <w:bCs/>
          <w:kern w:val="0"/>
          <w:sz w:val="32"/>
          <w:szCs w:val="32"/>
          <w:lang w:eastAsia="zh-CN"/>
        </w:rPr>
        <w:t>该项经费主要为我委“十四五”相关规划编制前期费用，由于该项经费下达时间较晚，且按合同进度尾款需要</w:t>
      </w:r>
      <w:r>
        <w:rPr>
          <w:rFonts w:hint="eastAsia" w:ascii="仿宋_GB2312" w:hAnsi="Times New Roman" w:eastAsia="仿宋_GB2312" w:cs="仿宋_GB2312"/>
          <w:bCs/>
          <w:kern w:val="0"/>
          <w:sz w:val="32"/>
          <w:szCs w:val="32"/>
          <w:lang w:val="en-US" w:eastAsia="zh-CN"/>
        </w:rPr>
        <w:t>2020年才能支付，故该项经费有结余，预计2020年完成支付。</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rPr>
        <w:t>1</w:t>
      </w:r>
      <w:r>
        <w:rPr>
          <w:rFonts w:hint="eastAsia" w:ascii="仿宋_GB2312" w:hAnsi="Times New Roman" w:eastAsia="仿宋_GB2312" w:cs="仿宋_GB2312"/>
          <w:bCs/>
          <w:kern w:val="0"/>
          <w:sz w:val="32"/>
          <w:szCs w:val="32"/>
          <w:lang w:val="en-US" w:eastAsia="zh-CN"/>
        </w:rPr>
        <w:t>4</w:t>
      </w:r>
      <w:r>
        <w:rPr>
          <w:rFonts w:hint="eastAsia" w:ascii="仿宋_GB2312" w:hAnsi="Times New Roman" w:eastAsia="仿宋_GB2312" w:cs="仿宋_GB2312"/>
          <w:bCs/>
          <w:kern w:val="0"/>
          <w:sz w:val="32"/>
          <w:szCs w:val="32"/>
        </w:rPr>
        <w:t>、212类03款99项其他城乡社区公共设施支出</w:t>
      </w:r>
      <w:r>
        <w:rPr>
          <w:rFonts w:hint="eastAsia" w:ascii="仿宋_GB2312" w:hAnsi="Times New Roman" w:eastAsia="仿宋_GB2312" w:cs="仿宋_GB2312"/>
          <w:bCs/>
          <w:kern w:val="0"/>
          <w:sz w:val="32"/>
          <w:szCs w:val="32"/>
          <w:lang w:val="en-US" w:eastAsia="zh-CN"/>
        </w:rPr>
        <w:t>192.21</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192.21</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lang w:val="en-US" w:eastAsia="zh-CN"/>
        </w:rPr>
        <w:t>15</w:t>
      </w:r>
      <w:r>
        <w:rPr>
          <w:rFonts w:hint="eastAsia" w:ascii="仿宋_GB2312" w:hAnsi="Times New Roman" w:eastAsia="仿宋_GB2312" w:cs="仿宋_GB2312"/>
          <w:bCs/>
          <w:kern w:val="0"/>
          <w:sz w:val="32"/>
          <w:szCs w:val="32"/>
        </w:rPr>
        <w:t>、21</w:t>
      </w:r>
      <w:r>
        <w:rPr>
          <w:rFonts w:hint="eastAsia" w:ascii="仿宋_GB2312" w:hAnsi="Times New Roman" w:eastAsia="仿宋_GB2312" w:cs="仿宋_GB2312"/>
          <w:bCs/>
          <w:kern w:val="0"/>
          <w:sz w:val="32"/>
          <w:szCs w:val="32"/>
          <w:lang w:val="en-US" w:eastAsia="zh-CN"/>
        </w:rPr>
        <w:t>3</w:t>
      </w:r>
      <w:r>
        <w:rPr>
          <w:rFonts w:hint="eastAsia" w:ascii="仿宋_GB2312" w:hAnsi="Times New Roman" w:eastAsia="仿宋_GB2312" w:cs="仿宋_GB2312"/>
          <w:bCs/>
          <w:kern w:val="0"/>
          <w:sz w:val="32"/>
          <w:szCs w:val="32"/>
        </w:rPr>
        <w:t>类0</w:t>
      </w:r>
      <w:r>
        <w:rPr>
          <w:rFonts w:hint="eastAsia" w:ascii="仿宋_GB2312" w:hAnsi="Times New Roman" w:eastAsia="仿宋_GB2312" w:cs="仿宋_GB2312"/>
          <w:bCs/>
          <w:kern w:val="0"/>
          <w:sz w:val="32"/>
          <w:szCs w:val="32"/>
          <w:lang w:val="en-US" w:eastAsia="zh-CN"/>
        </w:rPr>
        <w:t>1</w:t>
      </w:r>
      <w:r>
        <w:rPr>
          <w:rFonts w:hint="eastAsia" w:ascii="仿宋_GB2312" w:hAnsi="Times New Roman" w:eastAsia="仿宋_GB2312" w:cs="仿宋_GB2312"/>
          <w:bCs/>
          <w:kern w:val="0"/>
          <w:sz w:val="32"/>
          <w:szCs w:val="32"/>
        </w:rPr>
        <w:t>款</w:t>
      </w:r>
      <w:r>
        <w:rPr>
          <w:rFonts w:hint="eastAsia" w:ascii="仿宋_GB2312" w:hAnsi="Times New Roman" w:eastAsia="仿宋_GB2312" w:cs="仿宋_GB2312"/>
          <w:bCs/>
          <w:kern w:val="0"/>
          <w:sz w:val="32"/>
          <w:szCs w:val="32"/>
          <w:lang w:val="en-US" w:eastAsia="zh-CN"/>
        </w:rPr>
        <w:t>22</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val="en-US" w:eastAsia="zh-CN"/>
        </w:rPr>
        <w:t>农业生产支持补贴0.46</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0.46</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rPr>
        <w:t>1</w:t>
      </w:r>
      <w:r>
        <w:rPr>
          <w:rFonts w:hint="eastAsia" w:ascii="仿宋_GB2312" w:hAnsi="Times New Roman" w:eastAsia="仿宋_GB2312" w:cs="仿宋_GB2312"/>
          <w:bCs/>
          <w:kern w:val="0"/>
          <w:sz w:val="32"/>
          <w:szCs w:val="32"/>
          <w:lang w:val="en-US" w:eastAsia="zh-CN"/>
        </w:rPr>
        <w:t>6</w:t>
      </w:r>
      <w:r>
        <w:rPr>
          <w:rFonts w:hint="eastAsia" w:ascii="仿宋_GB2312" w:hAnsi="Times New Roman" w:eastAsia="仿宋_GB2312" w:cs="仿宋_GB2312"/>
          <w:bCs/>
          <w:kern w:val="0"/>
          <w:sz w:val="32"/>
          <w:szCs w:val="32"/>
        </w:rPr>
        <w:t>、213类01款99项其他农业支出</w:t>
      </w:r>
      <w:r>
        <w:rPr>
          <w:rFonts w:hint="eastAsia" w:ascii="仿宋_GB2312" w:hAnsi="Times New Roman" w:eastAsia="仿宋_GB2312" w:cs="仿宋_GB2312"/>
          <w:bCs/>
          <w:kern w:val="0"/>
          <w:sz w:val="32"/>
          <w:szCs w:val="32"/>
          <w:lang w:val="en-US" w:eastAsia="zh-CN"/>
        </w:rPr>
        <w:t>2.78</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2.78</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rPr>
        <w:t>1</w:t>
      </w:r>
      <w:r>
        <w:rPr>
          <w:rFonts w:hint="eastAsia" w:ascii="仿宋_GB2312" w:hAnsi="Times New Roman" w:eastAsia="仿宋_GB2312" w:cs="仿宋_GB2312"/>
          <w:bCs/>
          <w:kern w:val="0"/>
          <w:sz w:val="32"/>
          <w:szCs w:val="32"/>
          <w:lang w:val="en-US" w:eastAsia="zh-CN"/>
        </w:rPr>
        <w:t>7</w:t>
      </w:r>
      <w:r>
        <w:rPr>
          <w:rFonts w:hint="eastAsia" w:ascii="仿宋_GB2312" w:hAnsi="Times New Roman" w:eastAsia="仿宋_GB2312" w:cs="仿宋_GB2312"/>
          <w:bCs/>
          <w:kern w:val="0"/>
          <w:sz w:val="32"/>
          <w:szCs w:val="32"/>
        </w:rPr>
        <w:t>、213类05款</w:t>
      </w:r>
      <w:r>
        <w:rPr>
          <w:rFonts w:hint="eastAsia" w:ascii="仿宋_GB2312" w:hAnsi="Times New Roman" w:eastAsia="仿宋_GB2312" w:cs="仿宋_GB2312"/>
          <w:bCs/>
          <w:kern w:val="0"/>
          <w:sz w:val="32"/>
          <w:szCs w:val="32"/>
          <w:lang w:val="en-US" w:eastAsia="zh-CN"/>
        </w:rPr>
        <w:t>99</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val="en-US" w:eastAsia="zh-CN"/>
        </w:rPr>
        <w:t>其他扶贫支出 6.22</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6.22</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rPr>
        <w:t>1</w:t>
      </w:r>
      <w:r>
        <w:rPr>
          <w:rFonts w:hint="eastAsia" w:ascii="仿宋_GB2312" w:hAnsi="Times New Roman" w:eastAsia="仿宋_GB2312" w:cs="仿宋_GB2312"/>
          <w:bCs/>
          <w:kern w:val="0"/>
          <w:sz w:val="32"/>
          <w:szCs w:val="32"/>
          <w:lang w:val="en-US" w:eastAsia="zh-CN"/>
        </w:rPr>
        <w:t>8</w:t>
      </w:r>
      <w:r>
        <w:rPr>
          <w:rFonts w:hint="eastAsia" w:ascii="仿宋_GB2312" w:hAnsi="Times New Roman" w:eastAsia="仿宋_GB2312" w:cs="仿宋_GB2312"/>
          <w:bCs/>
          <w:kern w:val="0"/>
          <w:sz w:val="32"/>
          <w:szCs w:val="32"/>
        </w:rPr>
        <w:t>、213类0</w:t>
      </w:r>
      <w:r>
        <w:rPr>
          <w:rFonts w:hint="eastAsia" w:ascii="仿宋_GB2312" w:hAnsi="Times New Roman" w:eastAsia="仿宋_GB2312" w:cs="仿宋_GB2312"/>
          <w:bCs/>
          <w:kern w:val="0"/>
          <w:sz w:val="32"/>
          <w:szCs w:val="32"/>
          <w:lang w:val="en-US" w:eastAsia="zh-CN"/>
        </w:rPr>
        <w:t>9</w:t>
      </w:r>
      <w:r>
        <w:rPr>
          <w:rFonts w:hint="eastAsia" w:ascii="仿宋_GB2312" w:hAnsi="Times New Roman" w:eastAsia="仿宋_GB2312" w:cs="仿宋_GB2312"/>
          <w:bCs/>
          <w:kern w:val="0"/>
          <w:sz w:val="32"/>
          <w:szCs w:val="32"/>
        </w:rPr>
        <w:t>款</w:t>
      </w:r>
      <w:r>
        <w:rPr>
          <w:rFonts w:hint="eastAsia" w:ascii="仿宋_GB2312" w:hAnsi="Times New Roman" w:eastAsia="仿宋_GB2312" w:cs="仿宋_GB2312"/>
          <w:bCs/>
          <w:kern w:val="0"/>
          <w:sz w:val="32"/>
          <w:szCs w:val="32"/>
          <w:lang w:val="en-US" w:eastAsia="zh-CN"/>
        </w:rPr>
        <w:t>99</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val="en-US" w:eastAsia="zh-CN"/>
        </w:rPr>
        <w:t>其他目标价格补贴2.95</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192.21</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lang w:val="en-US" w:eastAsia="zh-CN"/>
        </w:rPr>
        <w:t>19</w:t>
      </w:r>
      <w:r>
        <w:rPr>
          <w:rFonts w:hint="eastAsia" w:ascii="仿宋_GB2312" w:hAnsi="Times New Roman" w:eastAsia="仿宋_GB2312" w:cs="仿宋_GB2312"/>
          <w:bCs/>
          <w:kern w:val="0"/>
          <w:sz w:val="32"/>
          <w:szCs w:val="32"/>
        </w:rPr>
        <w:t>、21</w:t>
      </w:r>
      <w:r>
        <w:rPr>
          <w:rFonts w:hint="eastAsia" w:ascii="仿宋_GB2312" w:hAnsi="Times New Roman" w:eastAsia="仿宋_GB2312" w:cs="仿宋_GB2312"/>
          <w:bCs/>
          <w:kern w:val="0"/>
          <w:sz w:val="32"/>
          <w:szCs w:val="32"/>
          <w:lang w:val="en-US" w:eastAsia="zh-CN"/>
        </w:rPr>
        <w:t>4</w:t>
      </w:r>
      <w:r>
        <w:rPr>
          <w:rFonts w:hint="eastAsia" w:ascii="仿宋_GB2312" w:hAnsi="Times New Roman" w:eastAsia="仿宋_GB2312" w:cs="仿宋_GB2312"/>
          <w:bCs/>
          <w:kern w:val="0"/>
          <w:sz w:val="32"/>
          <w:szCs w:val="32"/>
        </w:rPr>
        <w:t>类0</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款</w:t>
      </w:r>
      <w:r>
        <w:rPr>
          <w:rFonts w:hint="eastAsia" w:ascii="仿宋_GB2312" w:hAnsi="Times New Roman" w:eastAsia="仿宋_GB2312" w:cs="仿宋_GB2312"/>
          <w:bCs/>
          <w:kern w:val="0"/>
          <w:sz w:val="32"/>
          <w:szCs w:val="32"/>
          <w:lang w:val="en-US" w:eastAsia="zh-CN"/>
        </w:rPr>
        <w:t>99</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val="en-US" w:eastAsia="zh-CN"/>
        </w:rPr>
        <w:t>其他铁路运输支出199.77</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199.77</w:t>
      </w:r>
      <w:r>
        <w:rPr>
          <w:rFonts w:hint="eastAsia" w:ascii="仿宋_GB2312" w:hAnsi="Times New Roman" w:eastAsia="仿宋_GB2312" w:cs="仿宋_GB2312"/>
          <w:bCs/>
          <w:kern w:val="0"/>
          <w:sz w:val="32"/>
          <w:szCs w:val="32"/>
        </w:rPr>
        <w:t>万元相比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lang w:val="en-US" w:eastAsia="zh-CN"/>
        </w:rPr>
        <w:t>20</w:t>
      </w:r>
      <w:r>
        <w:rPr>
          <w:rFonts w:hint="eastAsia" w:ascii="仿宋_GB2312" w:hAnsi="Times New Roman" w:eastAsia="仿宋_GB2312" w:cs="仿宋_GB2312"/>
          <w:bCs/>
          <w:kern w:val="0"/>
          <w:sz w:val="32"/>
          <w:szCs w:val="32"/>
        </w:rPr>
        <w:t>、215类02款99项其他制造业支出</w:t>
      </w:r>
      <w:r>
        <w:rPr>
          <w:rFonts w:hint="eastAsia" w:ascii="仿宋_GB2312" w:hAnsi="Times New Roman" w:eastAsia="仿宋_GB2312" w:cs="仿宋_GB2312"/>
          <w:bCs/>
          <w:kern w:val="0"/>
          <w:sz w:val="32"/>
          <w:szCs w:val="32"/>
          <w:lang w:val="en-US" w:eastAsia="zh-CN"/>
        </w:rPr>
        <w:t>132.9</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134.9</w:t>
      </w:r>
      <w:r>
        <w:rPr>
          <w:rFonts w:hint="eastAsia" w:ascii="仿宋_GB2312" w:hAnsi="Times New Roman" w:eastAsia="仿宋_GB2312" w:cs="仿宋_GB2312"/>
          <w:bCs/>
          <w:kern w:val="0"/>
          <w:sz w:val="32"/>
          <w:szCs w:val="32"/>
        </w:rPr>
        <w:t>万元相比，少</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 xml:space="preserve"> 万元，为年度预算的</w:t>
      </w:r>
      <w:r>
        <w:rPr>
          <w:rFonts w:hint="eastAsia" w:ascii="仿宋_GB2312" w:hAnsi="Times New Roman" w:eastAsia="仿宋_GB2312" w:cs="仿宋_GB2312"/>
          <w:bCs/>
          <w:kern w:val="0"/>
          <w:sz w:val="32"/>
          <w:szCs w:val="32"/>
          <w:lang w:val="en-US" w:eastAsia="zh-CN"/>
        </w:rPr>
        <w:t>98.52</w:t>
      </w:r>
      <w:r>
        <w:rPr>
          <w:rFonts w:hint="eastAsia" w:ascii="仿宋_GB2312" w:hAnsi="Times New Roman" w:eastAsia="仿宋_GB2312" w:cs="仿宋_GB2312"/>
          <w:bCs/>
          <w:kern w:val="0"/>
          <w:sz w:val="32"/>
          <w:szCs w:val="32"/>
        </w:rPr>
        <w:t>%。决算数与年度预算数存在差异原因如下：</w:t>
      </w:r>
      <w:r>
        <w:rPr>
          <w:rFonts w:hint="eastAsia" w:ascii="仿宋_GB2312" w:hAnsi="Times New Roman" w:eastAsia="仿宋_GB2312" w:cs="仿宋_GB2312"/>
          <w:bCs/>
          <w:kern w:val="0"/>
          <w:sz w:val="32"/>
          <w:szCs w:val="32"/>
          <w:lang w:eastAsia="zh-CN"/>
        </w:rPr>
        <w:t>项目余款，当年已由财政收回。</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lang w:val="en-US" w:eastAsia="zh-CN"/>
        </w:rPr>
        <w:t>21</w:t>
      </w:r>
      <w:r>
        <w:rPr>
          <w:rFonts w:hint="eastAsia" w:ascii="仿宋_GB2312" w:hAnsi="Times New Roman" w:eastAsia="仿宋_GB2312" w:cs="仿宋_GB2312"/>
          <w:bCs/>
          <w:kern w:val="0"/>
          <w:sz w:val="32"/>
          <w:szCs w:val="32"/>
        </w:rPr>
        <w:t>、216类02款99项其他商业流通事务支出</w:t>
      </w:r>
      <w:r>
        <w:rPr>
          <w:rFonts w:hint="eastAsia" w:ascii="仿宋_GB2312" w:hAnsi="Times New Roman" w:eastAsia="仿宋_GB2312" w:cs="仿宋_GB2312"/>
          <w:bCs/>
          <w:kern w:val="0"/>
          <w:sz w:val="32"/>
          <w:szCs w:val="32"/>
          <w:lang w:val="en-US" w:eastAsia="zh-CN"/>
        </w:rPr>
        <w:t>232</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233.27</w:t>
      </w:r>
      <w:r>
        <w:rPr>
          <w:rFonts w:hint="eastAsia" w:ascii="仿宋_GB2312" w:hAnsi="Times New Roman" w:eastAsia="仿宋_GB2312" w:cs="仿宋_GB2312"/>
          <w:bCs/>
          <w:kern w:val="0"/>
          <w:sz w:val="32"/>
          <w:szCs w:val="32"/>
        </w:rPr>
        <w:t>万元相比，少</w:t>
      </w:r>
      <w:r>
        <w:rPr>
          <w:rFonts w:hint="eastAsia" w:ascii="仿宋_GB2312" w:hAnsi="Times New Roman" w:eastAsia="仿宋_GB2312" w:cs="仿宋_GB2312"/>
          <w:bCs/>
          <w:kern w:val="0"/>
          <w:sz w:val="32"/>
          <w:szCs w:val="32"/>
          <w:lang w:val="en-US" w:eastAsia="zh-CN"/>
        </w:rPr>
        <w:t>1.27</w:t>
      </w:r>
      <w:r>
        <w:rPr>
          <w:rFonts w:hint="eastAsia" w:ascii="仿宋_GB2312" w:hAnsi="Times New Roman" w:eastAsia="仿宋_GB2312" w:cs="仿宋_GB2312"/>
          <w:bCs/>
          <w:kern w:val="0"/>
          <w:sz w:val="32"/>
          <w:szCs w:val="32"/>
        </w:rPr>
        <w:t>万元，为年度预算的</w:t>
      </w:r>
      <w:r>
        <w:rPr>
          <w:rFonts w:hint="eastAsia" w:ascii="仿宋_GB2312" w:hAnsi="Times New Roman" w:eastAsia="仿宋_GB2312" w:cs="仿宋_GB2312"/>
          <w:bCs/>
          <w:kern w:val="0"/>
          <w:sz w:val="32"/>
          <w:szCs w:val="32"/>
          <w:lang w:val="en-US" w:eastAsia="zh-CN"/>
        </w:rPr>
        <w:t>99.46</w:t>
      </w:r>
      <w:r>
        <w:rPr>
          <w:rFonts w:hint="eastAsia" w:ascii="仿宋_GB2312" w:hAnsi="Times New Roman" w:eastAsia="仿宋_GB2312" w:cs="仿宋_GB2312"/>
          <w:bCs/>
          <w:kern w:val="0"/>
          <w:sz w:val="32"/>
          <w:szCs w:val="32"/>
        </w:rPr>
        <w:t>%。决算数与年度预算数存差异原因如下：</w:t>
      </w:r>
      <w:r>
        <w:rPr>
          <w:rFonts w:hint="eastAsia" w:ascii="仿宋_GB2312" w:hAnsi="Times New Roman" w:eastAsia="仿宋_GB2312" w:cs="仿宋_GB2312"/>
          <w:bCs/>
          <w:kern w:val="0"/>
          <w:sz w:val="32"/>
          <w:szCs w:val="32"/>
          <w:lang w:eastAsia="zh-CN"/>
        </w:rPr>
        <w:t>项目余款，当年已由财政收回。</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22</w:t>
      </w:r>
      <w:r>
        <w:rPr>
          <w:rFonts w:hint="eastAsia" w:ascii="仿宋_GB2312" w:hAnsi="Times New Roman" w:eastAsia="仿宋_GB2312" w:cs="仿宋_GB2312"/>
          <w:bCs/>
          <w:kern w:val="0"/>
          <w:sz w:val="32"/>
          <w:szCs w:val="32"/>
        </w:rPr>
        <w:t>、221类02款01项住房公积金</w:t>
      </w:r>
      <w:r>
        <w:rPr>
          <w:rFonts w:hint="eastAsia" w:ascii="仿宋_GB2312" w:hAnsi="Times New Roman" w:eastAsia="仿宋_GB2312" w:cs="仿宋_GB2312"/>
          <w:bCs/>
          <w:kern w:val="0"/>
          <w:sz w:val="32"/>
          <w:szCs w:val="32"/>
          <w:lang w:val="en-US" w:eastAsia="zh-CN"/>
        </w:rPr>
        <w:t>175.91</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175.91</w:t>
      </w:r>
      <w:r>
        <w:rPr>
          <w:rFonts w:hint="eastAsia" w:ascii="仿宋_GB2312" w:hAnsi="Times New Roman" w:eastAsia="仿宋_GB2312" w:cs="仿宋_GB2312"/>
          <w:bCs/>
          <w:kern w:val="0"/>
          <w:sz w:val="32"/>
          <w:szCs w:val="32"/>
        </w:rPr>
        <w:t>万元相比相比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23</w:t>
      </w:r>
      <w:r>
        <w:rPr>
          <w:rFonts w:hint="eastAsia" w:ascii="仿宋_GB2312" w:hAnsi="Times New Roman" w:eastAsia="仿宋_GB2312" w:cs="仿宋_GB2312"/>
          <w:bCs/>
          <w:kern w:val="0"/>
          <w:sz w:val="32"/>
          <w:szCs w:val="32"/>
        </w:rPr>
        <w:t>、221类02款03项</w:t>
      </w:r>
      <w:r>
        <w:rPr>
          <w:rFonts w:hint="eastAsia" w:ascii="仿宋_GB2312" w:hAnsi="Times New Roman" w:eastAsia="仿宋_GB2312" w:cs="仿宋_GB2312"/>
          <w:bCs/>
          <w:kern w:val="0"/>
          <w:sz w:val="32"/>
          <w:szCs w:val="32"/>
          <w:lang w:eastAsia="zh-CN"/>
        </w:rPr>
        <w:t>购</w:t>
      </w:r>
      <w:r>
        <w:rPr>
          <w:rFonts w:hint="eastAsia" w:ascii="仿宋_GB2312" w:hAnsi="Times New Roman" w:eastAsia="仿宋_GB2312" w:cs="仿宋_GB2312"/>
          <w:bCs/>
          <w:kern w:val="0"/>
          <w:sz w:val="32"/>
          <w:szCs w:val="32"/>
        </w:rPr>
        <w:t>房补贴</w:t>
      </w:r>
      <w:r>
        <w:rPr>
          <w:rFonts w:hint="eastAsia" w:ascii="仿宋_GB2312" w:hAnsi="Times New Roman" w:eastAsia="仿宋_GB2312" w:cs="仿宋_GB2312"/>
          <w:bCs/>
          <w:kern w:val="0"/>
          <w:sz w:val="32"/>
          <w:szCs w:val="32"/>
          <w:lang w:val="en-US" w:eastAsia="zh-CN"/>
        </w:rPr>
        <w:t>3.77</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3.77</w:t>
      </w:r>
      <w:r>
        <w:rPr>
          <w:rFonts w:hint="eastAsia" w:ascii="仿宋_GB2312" w:hAnsi="Times New Roman" w:eastAsia="仿宋_GB2312" w:cs="仿宋_GB2312"/>
          <w:bCs/>
          <w:kern w:val="0"/>
          <w:sz w:val="32"/>
          <w:szCs w:val="32"/>
        </w:rPr>
        <w:t>万元相比相比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24</w:t>
      </w:r>
      <w:r>
        <w:rPr>
          <w:rFonts w:hint="eastAsia" w:ascii="仿宋_GB2312" w:hAnsi="Times New Roman" w:eastAsia="仿宋_GB2312" w:cs="仿宋_GB2312"/>
          <w:bCs/>
          <w:kern w:val="0"/>
          <w:sz w:val="32"/>
          <w:szCs w:val="32"/>
        </w:rPr>
        <w:t>、22</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类0</w:t>
      </w:r>
      <w:r>
        <w:rPr>
          <w:rFonts w:hint="eastAsia" w:ascii="仿宋_GB2312" w:hAnsi="Times New Roman" w:eastAsia="仿宋_GB2312" w:cs="仿宋_GB2312"/>
          <w:bCs/>
          <w:kern w:val="0"/>
          <w:sz w:val="32"/>
          <w:szCs w:val="32"/>
          <w:lang w:val="en-US" w:eastAsia="zh-CN"/>
        </w:rPr>
        <w:t>1</w:t>
      </w:r>
      <w:r>
        <w:rPr>
          <w:rFonts w:hint="eastAsia" w:ascii="仿宋_GB2312" w:hAnsi="Times New Roman" w:eastAsia="仿宋_GB2312" w:cs="仿宋_GB2312"/>
          <w:bCs/>
          <w:kern w:val="0"/>
          <w:sz w:val="32"/>
          <w:szCs w:val="32"/>
        </w:rPr>
        <w:t>款0</w:t>
      </w:r>
      <w:r>
        <w:rPr>
          <w:rFonts w:hint="eastAsia" w:ascii="仿宋_GB2312" w:hAnsi="Times New Roman" w:eastAsia="仿宋_GB2312" w:cs="仿宋_GB2312"/>
          <w:bCs/>
          <w:kern w:val="0"/>
          <w:sz w:val="32"/>
          <w:szCs w:val="32"/>
          <w:lang w:val="en-US" w:eastAsia="zh-CN"/>
        </w:rPr>
        <w:t>1</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行政运行（粮油事务）</w:t>
      </w:r>
      <w:r>
        <w:rPr>
          <w:rFonts w:hint="eastAsia" w:ascii="仿宋_GB2312" w:hAnsi="Times New Roman" w:eastAsia="仿宋_GB2312" w:cs="仿宋_GB2312"/>
          <w:bCs/>
          <w:kern w:val="0"/>
          <w:sz w:val="32"/>
          <w:szCs w:val="32"/>
          <w:lang w:val="en-US" w:eastAsia="zh-CN"/>
        </w:rPr>
        <w:t>402.61</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402.61</w:t>
      </w:r>
      <w:r>
        <w:rPr>
          <w:rFonts w:hint="eastAsia" w:ascii="仿宋_GB2312" w:hAnsi="Times New Roman" w:eastAsia="仿宋_GB2312" w:cs="仿宋_GB2312"/>
          <w:bCs/>
          <w:kern w:val="0"/>
          <w:sz w:val="32"/>
          <w:szCs w:val="32"/>
        </w:rPr>
        <w:t>万元相比相比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25</w:t>
      </w:r>
      <w:r>
        <w:rPr>
          <w:rFonts w:hint="eastAsia" w:ascii="仿宋_GB2312" w:hAnsi="Times New Roman" w:eastAsia="仿宋_GB2312" w:cs="仿宋_GB2312"/>
          <w:bCs/>
          <w:kern w:val="0"/>
          <w:sz w:val="32"/>
          <w:szCs w:val="32"/>
        </w:rPr>
        <w:t>、22</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类0</w:t>
      </w:r>
      <w:r>
        <w:rPr>
          <w:rFonts w:hint="eastAsia" w:ascii="仿宋_GB2312" w:hAnsi="Times New Roman" w:eastAsia="仿宋_GB2312" w:cs="仿宋_GB2312"/>
          <w:bCs/>
          <w:kern w:val="0"/>
          <w:sz w:val="32"/>
          <w:szCs w:val="32"/>
          <w:lang w:val="en-US" w:eastAsia="zh-CN"/>
        </w:rPr>
        <w:t>1</w:t>
      </w:r>
      <w:r>
        <w:rPr>
          <w:rFonts w:hint="eastAsia" w:ascii="仿宋_GB2312" w:hAnsi="Times New Roman" w:eastAsia="仿宋_GB2312" w:cs="仿宋_GB2312"/>
          <w:bCs/>
          <w:kern w:val="0"/>
          <w:sz w:val="32"/>
          <w:szCs w:val="32"/>
        </w:rPr>
        <w:t>款0</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一般行政管理事务（粮油事务）</w:t>
      </w:r>
      <w:r>
        <w:rPr>
          <w:rFonts w:hint="eastAsia" w:ascii="仿宋_GB2312" w:hAnsi="Times New Roman" w:eastAsia="仿宋_GB2312" w:cs="仿宋_GB2312"/>
          <w:bCs/>
          <w:kern w:val="0"/>
          <w:sz w:val="32"/>
          <w:szCs w:val="32"/>
          <w:lang w:val="en-US" w:eastAsia="zh-CN"/>
        </w:rPr>
        <w:t>54.91</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54.91</w:t>
      </w:r>
      <w:r>
        <w:rPr>
          <w:rFonts w:hint="eastAsia" w:ascii="仿宋_GB2312" w:hAnsi="Times New Roman" w:eastAsia="仿宋_GB2312" w:cs="仿宋_GB2312"/>
          <w:bCs/>
          <w:kern w:val="0"/>
          <w:sz w:val="32"/>
          <w:szCs w:val="32"/>
        </w:rPr>
        <w:t>万元相比相比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26</w:t>
      </w:r>
      <w:r>
        <w:rPr>
          <w:rFonts w:hint="eastAsia" w:ascii="仿宋_GB2312" w:hAnsi="Times New Roman" w:eastAsia="仿宋_GB2312" w:cs="仿宋_GB2312"/>
          <w:bCs/>
          <w:kern w:val="0"/>
          <w:sz w:val="32"/>
          <w:szCs w:val="32"/>
        </w:rPr>
        <w:t>、22</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类0</w:t>
      </w:r>
      <w:r>
        <w:rPr>
          <w:rFonts w:hint="eastAsia" w:ascii="仿宋_GB2312" w:hAnsi="Times New Roman" w:eastAsia="仿宋_GB2312" w:cs="仿宋_GB2312"/>
          <w:bCs/>
          <w:kern w:val="0"/>
          <w:sz w:val="32"/>
          <w:szCs w:val="32"/>
          <w:lang w:val="en-US" w:eastAsia="zh-CN"/>
        </w:rPr>
        <w:t>1</w:t>
      </w:r>
      <w:r>
        <w:rPr>
          <w:rFonts w:hint="eastAsia" w:ascii="仿宋_GB2312" w:hAnsi="Times New Roman" w:eastAsia="仿宋_GB2312" w:cs="仿宋_GB2312"/>
          <w:bCs/>
          <w:kern w:val="0"/>
          <w:sz w:val="32"/>
          <w:szCs w:val="32"/>
        </w:rPr>
        <w:t>款0</w:t>
      </w:r>
      <w:r>
        <w:rPr>
          <w:rFonts w:hint="eastAsia" w:ascii="仿宋_GB2312" w:hAnsi="Times New Roman" w:eastAsia="仿宋_GB2312" w:cs="仿宋_GB2312"/>
          <w:bCs/>
          <w:kern w:val="0"/>
          <w:sz w:val="32"/>
          <w:szCs w:val="32"/>
          <w:lang w:val="en-US" w:eastAsia="zh-CN"/>
        </w:rPr>
        <w:t>6</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粮食专项业务活动</w:t>
      </w:r>
      <w:r>
        <w:rPr>
          <w:rFonts w:hint="eastAsia" w:ascii="仿宋_GB2312" w:hAnsi="Times New Roman" w:eastAsia="仿宋_GB2312" w:cs="仿宋_GB2312"/>
          <w:bCs/>
          <w:kern w:val="0"/>
          <w:sz w:val="32"/>
          <w:szCs w:val="32"/>
          <w:lang w:val="en-US" w:eastAsia="zh-CN"/>
        </w:rPr>
        <w:t xml:space="preserve"> 65.2</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65.2</w:t>
      </w:r>
      <w:r>
        <w:rPr>
          <w:rFonts w:hint="eastAsia" w:ascii="仿宋_GB2312" w:hAnsi="Times New Roman" w:eastAsia="仿宋_GB2312" w:cs="仿宋_GB2312"/>
          <w:bCs/>
          <w:kern w:val="0"/>
          <w:sz w:val="32"/>
          <w:szCs w:val="32"/>
        </w:rPr>
        <w:t>万元相比相比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lang w:val="en-US" w:eastAsia="zh-CN"/>
        </w:rPr>
        <w:t>27</w:t>
      </w:r>
      <w:r>
        <w:rPr>
          <w:rFonts w:hint="eastAsia" w:ascii="仿宋_GB2312" w:hAnsi="Times New Roman" w:eastAsia="仿宋_GB2312" w:cs="仿宋_GB2312"/>
          <w:bCs/>
          <w:kern w:val="0"/>
          <w:sz w:val="32"/>
          <w:szCs w:val="32"/>
        </w:rPr>
        <w:t>、22</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类0</w:t>
      </w:r>
      <w:r>
        <w:rPr>
          <w:rFonts w:hint="eastAsia" w:ascii="仿宋_GB2312" w:hAnsi="Times New Roman" w:eastAsia="仿宋_GB2312" w:cs="仿宋_GB2312"/>
          <w:bCs/>
          <w:kern w:val="0"/>
          <w:sz w:val="32"/>
          <w:szCs w:val="32"/>
          <w:lang w:val="en-US" w:eastAsia="zh-CN"/>
        </w:rPr>
        <w:t>1</w:t>
      </w:r>
      <w:r>
        <w:rPr>
          <w:rFonts w:hint="eastAsia" w:ascii="仿宋_GB2312" w:hAnsi="Times New Roman" w:eastAsia="仿宋_GB2312" w:cs="仿宋_GB2312"/>
          <w:bCs/>
          <w:kern w:val="0"/>
          <w:sz w:val="32"/>
          <w:szCs w:val="32"/>
        </w:rPr>
        <w:t>款</w:t>
      </w:r>
      <w:r>
        <w:rPr>
          <w:rFonts w:hint="eastAsia" w:ascii="仿宋_GB2312" w:hAnsi="Times New Roman" w:eastAsia="仿宋_GB2312" w:cs="仿宋_GB2312"/>
          <w:bCs/>
          <w:kern w:val="0"/>
          <w:sz w:val="32"/>
          <w:szCs w:val="32"/>
          <w:lang w:val="en-US" w:eastAsia="zh-CN"/>
        </w:rPr>
        <w:t>99</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其他粮油事务支出</w:t>
      </w:r>
      <w:r>
        <w:rPr>
          <w:rFonts w:hint="eastAsia" w:ascii="仿宋_GB2312" w:hAnsi="Times New Roman" w:eastAsia="仿宋_GB2312" w:cs="仿宋_GB2312"/>
          <w:bCs/>
          <w:kern w:val="0"/>
          <w:sz w:val="32"/>
          <w:szCs w:val="32"/>
          <w:lang w:val="en-US" w:eastAsia="zh-CN"/>
        </w:rPr>
        <w:t>411.83</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1524.6</w:t>
      </w:r>
      <w:r>
        <w:rPr>
          <w:rFonts w:hint="eastAsia" w:ascii="仿宋_GB2312" w:hAnsi="Times New Roman" w:eastAsia="仿宋_GB2312" w:cs="仿宋_GB2312"/>
          <w:bCs/>
          <w:kern w:val="0"/>
          <w:sz w:val="32"/>
          <w:szCs w:val="32"/>
        </w:rPr>
        <w:t>万元相比，少</w:t>
      </w:r>
      <w:r>
        <w:rPr>
          <w:rFonts w:hint="eastAsia" w:ascii="仿宋_GB2312" w:hAnsi="Times New Roman" w:eastAsia="仿宋_GB2312" w:cs="仿宋_GB2312"/>
          <w:bCs/>
          <w:kern w:val="0"/>
          <w:sz w:val="32"/>
          <w:szCs w:val="32"/>
          <w:lang w:val="en-US" w:eastAsia="zh-CN"/>
        </w:rPr>
        <w:t>1112.77</w:t>
      </w:r>
      <w:r>
        <w:rPr>
          <w:rFonts w:hint="eastAsia" w:ascii="仿宋_GB2312" w:hAnsi="Times New Roman" w:eastAsia="仿宋_GB2312" w:cs="仿宋_GB2312"/>
          <w:bCs/>
          <w:kern w:val="0"/>
          <w:sz w:val="32"/>
          <w:szCs w:val="32"/>
        </w:rPr>
        <w:t>万元，为年度预算的</w:t>
      </w:r>
      <w:r>
        <w:rPr>
          <w:rFonts w:hint="eastAsia" w:ascii="仿宋_GB2312" w:hAnsi="Times New Roman" w:eastAsia="仿宋_GB2312" w:cs="仿宋_GB2312"/>
          <w:bCs/>
          <w:kern w:val="0"/>
          <w:sz w:val="32"/>
          <w:szCs w:val="32"/>
          <w:lang w:val="en-US" w:eastAsia="zh-CN"/>
        </w:rPr>
        <w:t>27.01</w:t>
      </w:r>
      <w:r>
        <w:rPr>
          <w:rFonts w:hint="eastAsia" w:ascii="仿宋_GB2312" w:hAnsi="Times New Roman" w:eastAsia="仿宋_GB2312" w:cs="仿宋_GB2312"/>
          <w:bCs/>
          <w:kern w:val="0"/>
          <w:sz w:val="32"/>
          <w:szCs w:val="32"/>
        </w:rPr>
        <w:t>%。决算数与年度预算数存在差异原因如下：</w:t>
      </w:r>
      <w:r>
        <w:rPr>
          <w:rFonts w:hint="eastAsia" w:ascii="仿宋_GB2312" w:hAnsi="Times New Roman" w:eastAsia="仿宋_GB2312" w:cs="仿宋_GB2312"/>
          <w:bCs/>
          <w:kern w:val="0"/>
          <w:sz w:val="32"/>
          <w:szCs w:val="32"/>
          <w:lang w:eastAsia="zh-CN"/>
        </w:rPr>
        <w:t>粮油政策性补贴是由原粮食局报部门预算，实际金额分次下达至各粮食承储企业。</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28</w:t>
      </w:r>
      <w:r>
        <w:rPr>
          <w:rFonts w:hint="eastAsia" w:ascii="仿宋_GB2312" w:hAnsi="Times New Roman" w:eastAsia="仿宋_GB2312" w:cs="仿宋_GB2312"/>
          <w:bCs/>
          <w:kern w:val="0"/>
          <w:sz w:val="32"/>
          <w:szCs w:val="32"/>
        </w:rPr>
        <w:t>、22</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类02款</w:t>
      </w:r>
      <w:r>
        <w:rPr>
          <w:rFonts w:hint="eastAsia" w:ascii="仿宋_GB2312" w:hAnsi="Times New Roman" w:eastAsia="仿宋_GB2312" w:cs="仿宋_GB2312"/>
          <w:bCs/>
          <w:kern w:val="0"/>
          <w:sz w:val="32"/>
          <w:szCs w:val="32"/>
          <w:lang w:val="en-US" w:eastAsia="zh-CN"/>
        </w:rPr>
        <w:t>11</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仓库建设</w:t>
      </w:r>
      <w:r>
        <w:rPr>
          <w:rFonts w:hint="eastAsia" w:ascii="仿宋_GB2312" w:hAnsi="Times New Roman" w:eastAsia="仿宋_GB2312" w:cs="仿宋_GB2312"/>
          <w:bCs/>
          <w:kern w:val="0"/>
          <w:sz w:val="32"/>
          <w:szCs w:val="32"/>
          <w:lang w:val="en-US" w:eastAsia="zh-CN"/>
        </w:rPr>
        <w:t>1000</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万元相比相比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29</w:t>
      </w:r>
      <w:r>
        <w:rPr>
          <w:rFonts w:hint="eastAsia" w:ascii="仿宋_GB2312" w:hAnsi="Times New Roman" w:eastAsia="仿宋_GB2312" w:cs="仿宋_GB2312"/>
          <w:bCs/>
          <w:kern w:val="0"/>
          <w:sz w:val="32"/>
          <w:szCs w:val="32"/>
        </w:rPr>
        <w:t>、22</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类0</w:t>
      </w:r>
      <w:r>
        <w:rPr>
          <w:rFonts w:hint="eastAsia" w:ascii="仿宋_GB2312" w:hAnsi="Times New Roman" w:eastAsia="仿宋_GB2312" w:cs="仿宋_GB2312"/>
          <w:bCs/>
          <w:kern w:val="0"/>
          <w:sz w:val="32"/>
          <w:szCs w:val="32"/>
          <w:lang w:val="en-US" w:eastAsia="zh-CN"/>
        </w:rPr>
        <w:t>4</w:t>
      </w:r>
      <w:r>
        <w:rPr>
          <w:rFonts w:hint="eastAsia" w:ascii="仿宋_GB2312" w:hAnsi="Times New Roman" w:eastAsia="仿宋_GB2312" w:cs="仿宋_GB2312"/>
          <w:bCs/>
          <w:kern w:val="0"/>
          <w:sz w:val="32"/>
          <w:szCs w:val="32"/>
        </w:rPr>
        <w:t>款0</w:t>
      </w:r>
      <w:r>
        <w:rPr>
          <w:rFonts w:hint="eastAsia" w:ascii="仿宋_GB2312" w:hAnsi="Times New Roman" w:eastAsia="仿宋_GB2312" w:cs="仿宋_GB2312"/>
          <w:bCs/>
          <w:kern w:val="0"/>
          <w:sz w:val="32"/>
          <w:szCs w:val="32"/>
          <w:lang w:val="en-US" w:eastAsia="zh-CN"/>
        </w:rPr>
        <w:t>1</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储备粮油补贴</w:t>
      </w:r>
      <w:r>
        <w:rPr>
          <w:rFonts w:hint="eastAsia" w:ascii="仿宋_GB2312" w:hAnsi="Times New Roman" w:eastAsia="仿宋_GB2312" w:cs="仿宋_GB2312"/>
          <w:bCs/>
          <w:kern w:val="0"/>
          <w:sz w:val="32"/>
          <w:szCs w:val="32"/>
          <w:lang w:val="en-US" w:eastAsia="zh-CN"/>
        </w:rPr>
        <w:t>299.85</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299.85</w:t>
      </w:r>
      <w:r>
        <w:rPr>
          <w:rFonts w:hint="eastAsia" w:ascii="仿宋_GB2312" w:hAnsi="Times New Roman" w:eastAsia="仿宋_GB2312" w:cs="仿宋_GB2312"/>
          <w:bCs/>
          <w:kern w:val="0"/>
          <w:sz w:val="32"/>
          <w:szCs w:val="32"/>
        </w:rPr>
        <w:t>万元相比相比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lang w:val="en-US" w:eastAsia="zh-CN"/>
        </w:rPr>
        <w:t>30</w:t>
      </w:r>
      <w:r>
        <w:rPr>
          <w:rFonts w:hint="eastAsia" w:ascii="仿宋_GB2312" w:hAnsi="Times New Roman" w:eastAsia="仿宋_GB2312" w:cs="仿宋_GB2312"/>
          <w:bCs/>
          <w:kern w:val="0"/>
          <w:sz w:val="32"/>
          <w:szCs w:val="32"/>
        </w:rPr>
        <w:t>、22</w:t>
      </w:r>
      <w:r>
        <w:rPr>
          <w:rFonts w:hint="eastAsia" w:ascii="仿宋_GB2312" w:hAnsi="Times New Roman" w:eastAsia="仿宋_GB2312" w:cs="仿宋_GB2312"/>
          <w:bCs/>
          <w:kern w:val="0"/>
          <w:sz w:val="32"/>
          <w:szCs w:val="32"/>
          <w:lang w:val="en-US" w:eastAsia="zh-CN"/>
        </w:rPr>
        <w:t>2</w:t>
      </w:r>
      <w:r>
        <w:rPr>
          <w:rFonts w:hint="eastAsia" w:ascii="仿宋_GB2312" w:hAnsi="Times New Roman" w:eastAsia="仿宋_GB2312" w:cs="仿宋_GB2312"/>
          <w:bCs/>
          <w:kern w:val="0"/>
          <w:sz w:val="32"/>
          <w:szCs w:val="32"/>
        </w:rPr>
        <w:t>类0</w:t>
      </w:r>
      <w:r>
        <w:rPr>
          <w:rFonts w:hint="eastAsia" w:ascii="仿宋_GB2312" w:hAnsi="Times New Roman" w:eastAsia="仿宋_GB2312" w:cs="仿宋_GB2312"/>
          <w:bCs/>
          <w:kern w:val="0"/>
          <w:sz w:val="32"/>
          <w:szCs w:val="32"/>
          <w:lang w:val="en-US" w:eastAsia="zh-CN"/>
        </w:rPr>
        <w:t>4</w:t>
      </w:r>
      <w:r>
        <w:rPr>
          <w:rFonts w:hint="eastAsia" w:ascii="仿宋_GB2312" w:hAnsi="Times New Roman" w:eastAsia="仿宋_GB2312" w:cs="仿宋_GB2312"/>
          <w:bCs/>
          <w:kern w:val="0"/>
          <w:sz w:val="32"/>
          <w:szCs w:val="32"/>
        </w:rPr>
        <w:t>款0</w:t>
      </w:r>
      <w:r>
        <w:rPr>
          <w:rFonts w:hint="eastAsia" w:ascii="仿宋_GB2312" w:hAnsi="Times New Roman" w:eastAsia="仿宋_GB2312" w:cs="仿宋_GB2312"/>
          <w:bCs/>
          <w:kern w:val="0"/>
          <w:sz w:val="32"/>
          <w:szCs w:val="32"/>
          <w:lang w:val="en-US" w:eastAsia="zh-CN"/>
        </w:rPr>
        <w:t>5</w:t>
      </w:r>
      <w:r>
        <w:rPr>
          <w:rFonts w:hint="eastAsia" w:ascii="仿宋_GB2312" w:hAnsi="Times New Roman" w:eastAsia="仿宋_GB2312" w:cs="仿宋_GB2312"/>
          <w:bCs/>
          <w:kern w:val="0"/>
          <w:sz w:val="32"/>
          <w:szCs w:val="32"/>
        </w:rPr>
        <w:t>项</w:t>
      </w:r>
      <w:r>
        <w:rPr>
          <w:rFonts w:hint="eastAsia" w:ascii="仿宋_GB2312" w:hAnsi="Times New Roman" w:eastAsia="仿宋_GB2312" w:cs="仿宋_GB2312"/>
          <w:bCs/>
          <w:kern w:val="0"/>
          <w:sz w:val="32"/>
          <w:szCs w:val="32"/>
          <w:lang w:eastAsia="zh-CN"/>
        </w:rPr>
        <w:t>储备粮（油）库建设</w:t>
      </w:r>
      <w:r>
        <w:rPr>
          <w:rFonts w:hint="eastAsia" w:ascii="仿宋_GB2312" w:hAnsi="Times New Roman" w:eastAsia="仿宋_GB2312" w:cs="仿宋_GB2312"/>
          <w:bCs/>
          <w:kern w:val="0"/>
          <w:sz w:val="32"/>
          <w:szCs w:val="32"/>
          <w:lang w:val="en-US" w:eastAsia="zh-CN"/>
        </w:rPr>
        <w:t>306</w:t>
      </w:r>
      <w:r>
        <w:rPr>
          <w:rFonts w:hint="eastAsia" w:ascii="仿宋_GB2312" w:hAnsi="Times New Roman" w:eastAsia="仿宋_GB2312" w:cs="仿宋_GB2312"/>
          <w:bCs/>
          <w:kern w:val="0"/>
          <w:sz w:val="32"/>
          <w:szCs w:val="32"/>
        </w:rPr>
        <w:t>万元：与年度预算</w:t>
      </w:r>
      <w:r>
        <w:rPr>
          <w:rFonts w:hint="eastAsia" w:ascii="仿宋_GB2312" w:hAnsi="Times New Roman" w:eastAsia="仿宋_GB2312" w:cs="仿宋_GB2312"/>
          <w:bCs/>
          <w:kern w:val="0"/>
          <w:sz w:val="32"/>
          <w:szCs w:val="32"/>
          <w:lang w:val="en-US" w:eastAsia="zh-CN"/>
        </w:rPr>
        <w:t>306</w:t>
      </w:r>
      <w:r>
        <w:rPr>
          <w:rFonts w:hint="eastAsia" w:ascii="仿宋_GB2312" w:hAnsi="Times New Roman" w:eastAsia="仿宋_GB2312" w:cs="仿宋_GB2312"/>
          <w:bCs/>
          <w:kern w:val="0"/>
          <w:sz w:val="32"/>
          <w:szCs w:val="32"/>
        </w:rPr>
        <w:t>万元相比相比</w:t>
      </w:r>
      <w:r>
        <w:rPr>
          <w:rFonts w:hint="eastAsia" w:ascii="仿宋_GB2312" w:hAnsi="Times New Roman" w:eastAsia="仿宋_GB2312" w:cs="仿宋_GB2312"/>
          <w:bCs/>
          <w:kern w:val="0"/>
          <w:sz w:val="32"/>
          <w:szCs w:val="32"/>
          <w:lang w:eastAsia="zh-CN"/>
        </w:rPr>
        <w:t>一致</w:t>
      </w:r>
      <w:r>
        <w:rPr>
          <w:rFonts w:hint="eastAsia" w:ascii="仿宋_GB2312" w:hAnsi="Times New Roman" w:eastAsia="仿宋_GB2312" w:cs="仿宋_GB2312"/>
          <w:bCs/>
          <w:kern w:val="0"/>
          <w:sz w:val="32"/>
          <w:szCs w:val="32"/>
        </w:rPr>
        <w:t>，为年度预算的</w:t>
      </w:r>
      <w:r>
        <w:rPr>
          <w:rFonts w:hint="eastAsia" w:ascii="仿宋_GB2312" w:hAnsi="Times New Roman" w:eastAsia="仿宋_GB2312" w:cs="仿宋_GB2312"/>
          <w:bCs/>
          <w:kern w:val="0"/>
          <w:sz w:val="32"/>
          <w:szCs w:val="32"/>
          <w:lang w:val="en-US" w:eastAsia="zh-CN"/>
        </w:rPr>
        <w:t>100</w:t>
      </w:r>
      <w:r>
        <w:rPr>
          <w:rFonts w:hint="eastAsia" w:ascii="仿宋_GB2312" w:hAnsi="Times New Roman"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rPr>
        <w:t>六、</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年度一般公共预算财政拨款基本支出决算情况（根据实际情况作表述 </w:t>
      </w:r>
      <w:r>
        <w:rPr>
          <w:rFonts w:hint="eastAsia" w:ascii="仿宋_GB2312" w:eastAsia="仿宋_GB2312" w:cs="仿宋_GB2312"/>
          <w:b/>
          <w:bCs w:val="0"/>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2748.29</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 xml:space="preserve"> 人员经费2334.86万元，主要包括：基本工资</w:t>
      </w:r>
      <w:r>
        <w:rPr>
          <w:rFonts w:hint="eastAsia" w:ascii="仿宋_GB2312" w:eastAsia="仿宋_GB2312" w:cs="仿宋_GB2312"/>
          <w:b w:val="0"/>
          <w:bCs/>
          <w:kern w:val="0"/>
          <w:sz w:val="32"/>
          <w:szCs w:val="32"/>
          <w:lang w:val="en-US" w:eastAsia="zh-CN"/>
        </w:rPr>
        <w:t>559.3万元</w:t>
      </w:r>
      <w:r>
        <w:rPr>
          <w:rFonts w:hint="eastAsia" w:ascii="仿宋_GB2312" w:eastAsia="仿宋_GB2312" w:cs="仿宋_GB2312"/>
          <w:b w:val="0"/>
          <w:bCs/>
          <w:kern w:val="0"/>
          <w:sz w:val="32"/>
          <w:szCs w:val="32"/>
        </w:rPr>
        <w:t>、津贴补贴</w:t>
      </w:r>
      <w:r>
        <w:rPr>
          <w:rFonts w:hint="eastAsia" w:ascii="仿宋_GB2312" w:eastAsia="仿宋_GB2312" w:cs="仿宋_GB2312"/>
          <w:b w:val="0"/>
          <w:bCs/>
          <w:kern w:val="0"/>
          <w:sz w:val="32"/>
          <w:szCs w:val="32"/>
          <w:lang w:val="en-US" w:eastAsia="zh-CN"/>
        </w:rPr>
        <w:t>330.15万元</w:t>
      </w:r>
      <w:r>
        <w:rPr>
          <w:rFonts w:hint="eastAsia" w:ascii="仿宋_GB2312" w:eastAsia="仿宋_GB2312" w:cs="仿宋_GB2312"/>
          <w:b w:val="0"/>
          <w:bCs/>
          <w:kern w:val="0"/>
          <w:sz w:val="32"/>
          <w:szCs w:val="32"/>
        </w:rPr>
        <w:t>、奖金</w:t>
      </w:r>
      <w:r>
        <w:rPr>
          <w:rFonts w:hint="eastAsia" w:ascii="仿宋_GB2312" w:eastAsia="仿宋_GB2312" w:cs="仿宋_GB2312"/>
          <w:b w:val="0"/>
          <w:bCs/>
          <w:kern w:val="0"/>
          <w:sz w:val="32"/>
          <w:szCs w:val="32"/>
          <w:lang w:val="en-US" w:eastAsia="zh-CN"/>
        </w:rPr>
        <w:t>433.36万元</w:t>
      </w:r>
      <w:r>
        <w:rPr>
          <w:rFonts w:hint="eastAsia" w:ascii="仿宋_GB2312" w:eastAsia="仿宋_GB2312" w:cs="仿宋_GB2312"/>
          <w:b w:val="0"/>
          <w:bCs/>
          <w:kern w:val="0"/>
          <w:sz w:val="32"/>
          <w:szCs w:val="32"/>
        </w:rPr>
        <w:t>、伙食补助费</w:t>
      </w:r>
      <w:r>
        <w:rPr>
          <w:rFonts w:hint="eastAsia" w:ascii="仿宋_GB2312" w:eastAsia="仿宋_GB2312" w:cs="仿宋_GB2312"/>
          <w:b w:val="0"/>
          <w:bCs/>
          <w:kern w:val="0"/>
          <w:sz w:val="32"/>
          <w:szCs w:val="32"/>
          <w:lang w:val="en-US" w:eastAsia="zh-CN"/>
        </w:rPr>
        <w:t>6.17万元</w:t>
      </w:r>
      <w:r>
        <w:rPr>
          <w:rFonts w:hint="eastAsia" w:ascii="仿宋_GB2312" w:eastAsia="仿宋_GB2312" w:cs="仿宋_GB2312"/>
          <w:b w:val="0"/>
          <w:bCs/>
          <w:kern w:val="0"/>
          <w:sz w:val="32"/>
          <w:szCs w:val="32"/>
        </w:rPr>
        <w:t>、绩效工资</w:t>
      </w:r>
      <w:r>
        <w:rPr>
          <w:rFonts w:hint="eastAsia" w:ascii="仿宋_GB2312" w:eastAsia="仿宋_GB2312" w:cs="仿宋_GB2312"/>
          <w:b w:val="0"/>
          <w:bCs/>
          <w:kern w:val="0"/>
          <w:sz w:val="32"/>
          <w:szCs w:val="32"/>
          <w:lang w:val="en-US" w:eastAsia="zh-CN"/>
        </w:rPr>
        <w:t>89.48万元</w:t>
      </w:r>
      <w:r>
        <w:rPr>
          <w:rFonts w:hint="eastAsia" w:ascii="仿宋_GB2312" w:eastAsia="仿宋_GB2312" w:cs="仿宋_GB2312"/>
          <w:b w:val="0"/>
          <w:bCs/>
          <w:kern w:val="0"/>
          <w:sz w:val="32"/>
          <w:szCs w:val="32"/>
        </w:rPr>
        <w:t>、机关事业单位基本养老保险缴费</w:t>
      </w:r>
      <w:r>
        <w:rPr>
          <w:rFonts w:hint="eastAsia" w:ascii="仿宋_GB2312" w:eastAsia="仿宋_GB2312" w:cs="仿宋_GB2312"/>
          <w:b w:val="0"/>
          <w:bCs/>
          <w:kern w:val="0"/>
          <w:sz w:val="32"/>
          <w:szCs w:val="32"/>
          <w:lang w:val="en-US" w:eastAsia="zh-CN"/>
        </w:rPr>
        <w:t>283.12万元</w:t>
      </w:r>
      <w:r>
        <w:rPr>
          <w:rFonts w:hint="eastAsia" w:ascii="仿宋_GB2312" w:eastAsia="仿宋_GB2312" w:cs="仿宋_GB2312"/>
          <w:b w:val="0"/>
          <w:bCs/>
          <w:kern w:val="0"/>
          <w:sz w:val="32"/>
          <w:szCs w:val="32"/>
        </w:rPr>
        <w:t>、</w:t>
      </w:r>
      <w:r>
        <w:rPr>
          <w:rFonts w:hint="eastAsia" w:ascii="仿宋_GB2312" w:eastAsia="仿宋_GB2312" w:cs="仿宋_GB2312"/>
          <w:kern w:val="0"/>
          <w:sz w:val="32"/>
          <w:szCs w:val="32"/>
          <w:lang w:eastAsia="zh-CN"/>
        </w:rPr>
        <w:t>职工基本医疗保险缴费</w:t>
      </w:r>
      <w:r>
        <w:rPr>
          <w:rFonts w:hint="eastAsia" w:ascii="仿宋_GB2312" w:eastAsia="仿宋_GB2312" w:cs="仿宋_GB2312"/>
          <w:kern w:val="0"/>
          <w:sz w:val="32"/>
          <w:szCs w:val="32"/>
          <w:lang w:val="en-US" w:eastAsia="zh-CN"/>
        </w:rPr>
        <w:t>123.78万元、公务员医疗补助缴费203.48万元、</w:t>
      </w:r>
      <w:r>
        <w:rPr>
          <w:rFonts w:hint="eastAsia" w:ascii="仿宋_GB2312" w:eastAsia="仿宋_GB2312" w:cs="仿宋_GB2312"/>
          <w:kern w:val="0"/>
          <w:sz w:val="32"/>
          <w:szCs w:val="32"/>
          <w:lang w:eastAsia="zh-CN"/>
        </w:rPr>
        <w:t>其他</w:t>
      </w:r>
      <w:r>
        <w:rPr>
          <w:rFonts w:hint="eastAsia" w:ascii="仿宋_GB2312" w:eastAsia="仿宋_GB2312" w:cs="仿宋_GB2312"/>
          <w:kern w:val="0"/>
          <w:sz w:val="32"/>
          <w:szCs w:val="32"/>
        </w:rPr>
        <w:t>社会保障缴费</w:t>
      </w:r>
      <w:r>
        <w:rPr>
          <w:rFonts w:hint="eastAsia" w:ascii="仿宋_GB2312" w:eastAsia="仿宋_GB2312" w:cs="仿宋_GB2312"/>
          <w:kern w:val="0"/>
          <w:sz w:val="32"/>
          <w:szCs w:val="32"/>
          <w:lang w:val="en-US" w:eastAsia="zh-CN"/>
        </w:rPr>
        <w:t>10.04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住房公积金</w:t>
      </w:r>
      <w:r>
        <w:rPr>
          <w:rFonts w:hint="eastAsia" w:ascii="仿宋_GB2312" w:eastAsia="仿宋_GB2312" w:cs="仿宋_GB2312"/>
          <w:kern w:val="0"/>
          <w:sz w:val="32"/>
          <w:szCs w:val="32"/>
          <w:lang w:val="en-US" w:eastAsia="zh-CN"/>
        </w:rPr>
        <w:t>180.24万元、离休费13.4万元、</w:t>
      </w:r>
      <w:r>
        <w:rPr>
          <w:rFonts w:hint="eastAsia" w:ascii="仿宋_GB2312" w:eastAsia="仿宋_GB2312" w:cs="仿宋_GB2312"/>
          <w:kern w:val="0"/>
          <w:sz w:val="32"/>
          <w:szCs w:val="32"/>
        </w:rPr>
        <w:t>退休费</w:t>
      </w:r>
      <w:r>
        <w:rPr>
          <w:rFonts w:hint="eastAsia" w:ascii="仿宋_GB2312" w:eastAsia="仿宋_GB2312" w:cs="仿宋_GB2312"/>
          <w:kern w:val="0"/>
          <w:sz w:val="32"/>
          <w:szCs w:val="32"/>
          <w:lang w:val="en-US" w:eastAsia="zh-CN"/>
        </w:rPr>
        <w:t>68.09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抚恤金</w:t>
      </w:r>
      <w:r>
        <w:rPr>
          <w:rFonts w:hint="eastAsia" w:ascii="仿宋_GB2312" w:eastAsia="仿宋_GB2312" w:cs="仿宋_GB2312"/>
          <w:kern w:val="0"/>
          <w:sz w:val="32"/>
          <w:szCs w:val="32"/>
          <w:lang w:val="en-US" w:eastAsia="zh-CN"/>
        </w:rPr>
        <w:t>23.36万元、</w:t>
      </w:r>
      <w:r>
        <w:rPr>
          <w:rFonts w:hint="eastAsia" w:ascii="仿宋_GB2312" w:eastAsia="仿宋_GB2312" w:cs="仿宋_GB2312"/>
          <w:kern w:val="0"/>
          <w:sz w:val="32"/>
          <w:szCs w:val="32"/>
          <w:lang w:eastAsia="zh-CN"/>
        </w:rPr>
        <w:t>其他对个人家庭的补助</w:t>
      </w:r>
      <w:r>
        <w:rPr>
          <w:rFonts w:hint="eastAsia" w:ascii="仿宋_GB2312" w:eastAsia="仿宋_GB2312" w:cs="仿宋_GB2312"/>
          <w:kern w:val="0"/>
          <w:sz w:val="32"/>
          <w:szCs w:val="32"/>
          <w:lang w:val="en-US" w:eastAsia="zh-CN"/>
        </w:rPr>
        <w:t>2.88万元</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413.43</w:t>
      </w:r>
      <w:r>
        <w:rPr>
          <w:rFonts w:hint="eastAsia" w:ascii="仿宋_GB2312" w:eastAsia="仿宋_GB2312" w:cs="仿宋_GB2312"/>
          <w:b w:val="0"/>
          <w:bCs/>
          <w:kern w:val="0"/>
          <w:sz w:val="32"/>
          <w:szCs w:val="32"/>
        </w:rPr>
        <w:t>万元，主要包括：办公费</w:t>
      </w:r>
      <w:r>
        <w:rPr>
          <w:rFonts w:hint="eastAsia" w:ascii="仿宋_GB2312" w:eastAsia="仿宋_GB2312" w:cs="仿宋_GB2312"/>
          <w:b w:val="0"/>
          <w:bCs/>
          <w:kern w:val="0"/>
          <w:sz w:val="32"/>
          <w:szCs w:val="32"/>
          <w:lang w:val="en-US" w:eastAsia="zh-CN"/>
        </w:rPr>
        <w:t>54.3万元</w:t>
      </w:r>
      <w:r>
        <w:rPr>
          <w:rFonts w:hint="eastAsia" w:ascii="仿宋_GB2312" w:eastAsia="仿宋_GB2312" w:cs="仿宋_GB2312"/>
          <w:b w:val="0"/>
          <w:bCs/>
          <w:kern w:val="0"/>
          <w:sz w:val="32"/>
          <w:szCs w:val="32"/>
        </w:rPr>
        <w:t>、印刷费</w:t>
      </w:r>
      <w:r>
        <w:rPr>
          <w:rFonts w:hint="eastAsia" w:ascii="仿宋_GB2312" w:eastAsia="仿宋_GB2312" w:cs="仿宋_GB2312"/>
          <w:b w:val="0"/>
          <w:bCs/>
          <w:kern w:val="0"/>
          <w:sz w:val="32"/>
          <w:szCs w:val="32"/>
          <w:lang w:val="en-US" w:eastAsia="zh-CN"/>
        </w:rPr>
        <w:t>1.5万元</w:t>
      </w:r>
      <w:r>
        <w:rPr>
          <w:rFonts w:hint="eastAsia" w:ascii="仿宋_GB2312" w:eastAsia="仿宋_GB2312" w:cs="仿宋_GB2312"/>
          <w:b w:val="0"/>
          <w:bCs/>
          <w:kern w:val="0"/>
          <w:sz w:val="32"/>
          <w:szCs w:val="32"/>
        </w:rPr>
        <w:t>、水费</w:t>
      </w:r>
      <w:r>
        <w:rPr>
          <w:rFonts w:hint="eastAsia" w:ascii="仿宋_GB2312" w:eastAsia="仿宋_GB2312" w:cs="仿宋_GB2312"/>
          <w:b w:val="0"/>
          <w:bCs/>
          <w:kern w:val="0"/>
          <w:sz w:val="32"/>
          <w:szCs w:val="32"/>
          <w:lang w:val="en-US" w:eastAsia="zh-CN"/>
        </w:rPr>
        <w:t>0.18万元</w:t>
      </w:r>
      <w:r>
        <w:rPr>
          <w:rFonts w:hint="eastAsia" w:ascii="仿宋_GB2312" w:eastAsia="仿宋_GB2312" w:cs="仿宋_GB2312"/>
          <w:b w:val="0"/>
          <w:bCs/>
          <w:kern w:val="0"/>
          <w:sz w:val="32"/>
          <w:szCs w:val="32"/>
        </w:rPr>
        <w:t>、电费</w:t>
      </w:r>
      <w:r>
        <w:rPr>
          <w:rFonts w:hint="eastAsia" w:ascii="仿宋_GB2312" w:eastAsia="仿宋_GB2312" w:cs="仿宋_GB2312"/>
          <w:b w:val="0"/>
          <w:bCs/>
          <w:kern w:val="0"/>
          <w:sz w:val="32"/>
          <w:szCs w:val="32"/>
          <w:lang w:val="en-US" w:eastAsia="zh-CN"/>
        </w:rPr>
        <w:t>3.36万元</w:t>
      </w:r>
      <w:r>
        <w:rPr>
          <w:rFonts w:hint="eastAsia" w:ascii="仿宋_GB2312" w:eastAsia="仿宋_GB2312" w:cs="仿宋_GB2312"/>
          <w:b w:val="0"/>
          <w:bCs/>
          <w:kern w:val="0"/>
          <w:sz w:val="32"/>
          <w:szCs w:val="32"/>
        </w:rPr>
        <w:t>、邮电费</w:t>
      </w:r>
      <w:r>
        <w:rPr>
          <w:rFonts w:hint="eastAsia" w:ascii="仿宋_GB2312" w:eastAsia="仿宋_GB2312" w:cs="仿宋_GB2312"/>
          <w:b w:val="0"/>
          <w:bCs/>
          <w:kern w:val="0"/>
          <w:sz w:val="32"/>
          <w:szCs w:val="32"/>
          <w:lang w:val="en-US" w:eastAsia="zh-CN"/>
        </w:rPr>
        <w:t>26.29万元</w:t>
      </w:r>
      <w:r>
        <w:rPr>
          <w:rFonts w:hint="eastAsia" w:ascii="仿宋_GB2312" w:eastAsia="仿宋_GB2312" w:cs="仿宋_GB2312"/>
          <w:b w:val="0"/>
          <w:bCs/>
          <w:kern w:val="0"/>
          <w:sz w:val="32"/>
          <w:szCs w:val="32"/>
        </w:rPr>
        <w:t>、物业管理费</w:t>
      </w:r>
      <w:r>
        <w:rPr>
          <w:rFonts w:hint="eastAsia" w:ascii="仿宋_GB2312" w:eastAsia="仿宋_GB2312" w:cs="仿宋_GB2312"/>
          <w:b w:val="0"/>
          <w:bCs/>
          <w:kern w:val="0"/>
          <w:sz w:val="32"/>
          <w:szCs w:val="32"/>
          <w:lang w:val="en-US" w:eastAsia="zh-CN"/>
        </w:rPr>
        <w:t>3.13万元</w:t>
      </w:r>
      <w:r>
        <w:rPr>
          <w:rFonts w:hint="eastAsia" w:ascii="仿宋_GB2312" w:eastAsia="仿宋_GB2312" w:cs="仿宋_GB2312"/>
          <w:b w:val="0"/>
          <w:bCs/>
          <w:kern w:val="0"/>
          <w:sz w:val="32"/>
          <w:szCs w:val="32"/>
        </w:rPr>
        <w:t>、差旅费</w:t>
      </w:r>
      <w:r>
        <w:rPr>
          <w:rFonts w:hint="eastAsia" w:ascii="仿宋_GB2312" w:eastAsia="仿宋_GB2312" w:cs="仿宋_GB2312"/>
          <w:b w:val="0"/>
          <w:bCs/>
          <w:kern w:val="0"/>
          <w:sz w:val="32"/>
          <w:szCs w:val="32"/>
          <w:lang w:val="en-US" w:eastAsia="zh-CN"/>
        </w:rPr>
        <w:t>33.24万元</w:t>
      </w:r>
      <w:r>
        <w:rPr>
          <w:rFonts w:hint="eastAsia" w:ascii="仿宋_GB2312" w:eastAsia="仿宋_GB2312" w:cs="仿宋_GB2312"/>
          <w:b w:val="0"/>
          <w:bCs/>
          <w:kern w:val="0"/>
          <w:sz w:val="32"/>
          <w:szCs w:val="32"/>
        </w:rPr>
        <w:t>、维修（护）费</w:t>
      </w:r>
      <w:r>
        <w:rPr>
          <w:rFonts w:hint="eastAsia" w:ascii="仿宋_GB2312" w:eastAsia="仿宋_GB2312" w:cs="仿宋_GB2312"/>
          <w:b w:val="0"/>
          <w:bCs/>
          <w:kern w:val="0"/>
          <w:sz w:val="32"/>
          <w:szCs w:val="32"/>
          <w:lang w:val="en-US" w:eastAsia="zh-CN"/>
        </w:rPr>
        <w:t>3.87万元、</w:t>
      </w:r>
      <w:r>
        <w:rPr>
          <w:rFonts w:hint="eastAsia" w:ascii="仿宋_GB2312" w:eastAsia="仿宋_GB2312" w:cs="仿宋_GB2312"/>
          <w:b w:val="0"/>
          <w:bCs/>
          <w:kern w:val="0"/>
          <w:sz w:val="32"/>
          <w:szCs w:val="32"/>
        </w:rPr>
        <w:t>会议费</w:t>
      </w:r>
      <w:r>
        <w:rPr>
          <w:rFonts w:hint="eastAsia" w:ascii="仿宋_GB2312" w:eastAsia="仿宋_GB2312" w:cs="仿宋_GB2312"/>
          <w:b w:val="0"/>
          <w:bCs/>
          <w:kern w:val="0"/>
          <w:sz w:val="32"/>
          <w:szCs w:val="32"/>
          <w:lang w:val="en-US" w:eastAsia="zh-CN"/>
        </w:rPr>
        <w:t>4.15万元</w:t>
      </w:r>
      <w:r>
        <w:rPr>
          <w:rFonts w:hint="eastAsia" w:ascii="仿宋_GB2312" w:eastAsia="仿宋_GB2312" w:cs="仿宋_GB2312"/>
          <w:b w:val="0"/>
          <w:bCs/>
          <w:kern w:val="0"/>
          <w:sz w:val="32"/>
          <w:szCs w:val="32"/>
        </w:rPr>
        <w:t>、培训费</w:t>
      </w:r>
      <w:r>
        <w:rPr>
          <w:rFonts w:hint="eastAsia" w:ascii="仿宋_GB2312" w:eastAsia="仿宋_GB2312" w:cs="仿宋_GB2312"/>
          <w:b w:val="0"/>
          <w:bCs/>
          <w:kern w:val="0"/>
          <w:sz w:val="32"/>
          <w:szCs w:val="32"/>
          <w:lang w:val="en-US" w:eastAsia="zh-CN"/>
        </w:rPr>
        <w:t>7.42万元</w:t>
      </w:r>
      <w:r>
        <w:rPr>
          <w:rFonts w:hint="eastAsia" w:ascii="仿宋_GB2312" w:eastAsia="仿宋_GB2312" w:cs="仿宋_GB2312"/>
          <w:b w:val="0"/>
          <w:bCs/>
          <w:kern w:val="0"/>
          <w:sz w:val="32"/>
          <w:szCs w:val="32"/>
        </w:rPr>
        <w:t>、公务接待费</w:t>
      </w:r>
      <w:r>
        <w:rPr>
          <w:rFonts w:hint="eastAsia" w:ascii="仿宋_GB2312" w:eastAsia="仿宋_GB2312" w:cs="仿宋_GB2312"/>
          <w:b w:val="0"/>
          <w:bCs/>
          <w:kern w:val="0"/>
          <w:sz w:val="32"/>
          <w:szCs w:val="32"/>
          <w:lang w:val="en-US" w:eastAsia="zh-CN"/>
        </w:rPr>
        <w:t>1.78万元</w:t>
      </w:r>
      <w:r>
        <w:rPr>
          <w:rFonts w:hint="eastAsia" w:ascii="仿宋_GB2312" w:eastAsia="仿宋_GB2312" w:cs="仿宋_GB2312"/>
          <w:b w:val="0"/>
          <w:bCs/>
          <w:kern w:val="0"/>
          <w:sz w:val="32"/>
          <w:szCs w:val="32"/>
        </w:rPr>
        <w:t>、委托业务费</w:t>
      </w:r>
      <w:r>
        <w:rPr>
          <w:rFonts w:hint="eastAsia" w:ascii="仿宋_GB2312" w:eastAsia="仿宋_GB2312" w:cs="仿宋_GB2312"/>
          <w:b w:val="0"/>
          <w:bCs/>
          <w:kern w:val="0"/>
          <w:sz w:val="32"/>
          <w:szCs w:val="32"/>
          <w:lang w:val="en-US" w:eastAsia="zh-CN"/>
        </w:rPr>
        <w:t>0.08万元</w:t>
      </w:r>
      <w:r>
        <w:rPr>
          <w:rFonts w:hint="eastAsia" w:ascii="仿宋_GB2312" w:eastAsia="仿宋_GB2312" w:cs="仿宋_GB2312"/>
          <w:b w:val="0"/>
          <w:bCs/>
          <w:kern w:val="0"/>
          <w:sz w:val="32"/>
          <w:szCs w:val="32"/>
        </w:rPr>
        <w:t>、工会经费</w:t>
      </w:r>
      <w:r>
        <w:rPr>
          <w:rFonts w:hint="eastAsia" w:ascii="仿宋_GB2312" w:eastAsia="仿宋_GB2312" w:cs="仿宋_GB2312"/>
          <w:b w:val="0"/>
          <w:bCs/>
          <w:kern w:val="0"/>
          <w:sz w:val="32"/>
          <w:szCs w:val="32"/>
          <w:lang w:val="en-US" w:eastAsia="zh-CN"/>
        </w:rPr>
        <w:t>28.87万元</w:t>
      </w:r>
      <w:r>
        <w:rPr>
          <w:rFonts w:hint="eastAsia" w:ascii="仿宋_GB2312" w:eastAsia="仿宋_GB2312" w:cs="仿宋_GB2312"/>
          <w:b w:val="0"/>
          <w:bCs/>
          <w:kern w:val="0"/>
          <w:sz w:val="32"/>
          <w:szCs w:val="32"/>
        </w:rPr>
        <w:t>、公务用车运行维护费</w:t>
      </w:r>
      <w:r>
        <w:rPr>
          <w:rFonts w:hint="eastAsia" w:ascii="仿宋_GB2312" w:eastAsia="仿宋_GB2312" w:cs="仿宋_GB2312"/>
          <w:b w:val="0"/>
          <w:bCs/>
          <w:kern w:val="0"/>
          <w:sz w:val="32"/>
          <w:szCs w:val="32"/>
          <w:lang w:val="en-US" w:eastAsia="zh-CN"/>
        </w:rPr>
        <w:t>5.21万元</w:t>
      </w:r>
      <w:r>
        <w:rPr>
          <w:rFonts w:hint="eastAsia" w:ascii="仿宋_GB2312" w:eastAsia="仿宋_GB2312" w:cs="仿宋_GB2312"/>
          <w:b w:val="0"/>
          <w:bCs/>
          <w:kern w:val="0"/>
          <w:sz w:val="32"/>
          <w:szCs w:val="32"/>
        </w:rPr>
        <w:t>、其他交通费用</w:t>
      </w:r>
      <w:r>
        <w:rPr>
          <w:rFonts w:hint="eastAsia" w:ascii="仿宋_GB2312" w:eastAsia="仿宋_GB2312" w:cs="仿宋_GB2312"/>
          <w:b w:val="0"/>
          <w:bCs/>
          <w:kern w:val="0"/>
          <w:sz w:val="32"/>
          <w:szCs w:val="32"/>
          <w:lang w:val="en-US" w:eastAsia="zh-CN"/>
        </w:rPr>
        <w:t>107.41万元</w:t>
      </w:r>
      <w:r>
        <w:rPr>
          <w:rFonts w:hint="eastAsia" w:ascii="仿宋_GB2312" w:eastAsia="仿宋_GB2312" w:cs="仿宋_GB2312"/>
          <w:b w:val="0"/>
          <w:bCs/>
          <w:kern w:val="0"/>
          <w:sz w:val="32"/>
          <w:szCs w:val="32"/>
        </w:rPr>
        <w:t>、税金及附加费用</w:t>
      </w:r>
      <w:r>
        <w:rPr>
          <w:rFonts w:hint="eastAsia" w:ascii="仿宋_GB2312" w:eastAsia="仿宋_GB2312" w:cs="仿宋_GB2312"/>
          <w:b w:val="0"/>
          <w:bCs/>
          <w:kern w:val="0"/>
          <w:sz w:val="32"/>
          <w:szCs w:val="32"/>
          <w:lang w:val="en-US" w:eastAsia="zh-CN"/>
        </w:rPr>
        <w:t>7.9万元</w:t>
      </w:r>
      <w:r>
        <w:rPr>
          <w:rFonts w:hint="eastAsia" w:ascii="仿宋_GB2312" w:eastAsia="仿宋_GB2312" w:cs="仿宋_GB2312"/>
          <w:b w:val="0"/>
          <w:bCs/>
          <w:kern w:val="0"/>
          <w:sz w:val="32"/>
          <w:szCs w:val="32"/>
        </w:rPr>
        <w:t>、其他商品和服务支出</w:t>
      </w:r>
      <w:r>
        <w:rPr>
          <w:rFonts w:hint="eastAsia" w:ascii="仿宋_GB2312" w:eastAsia="仿宋_GB2312" w:cs="仿宋_GB2312"/>
          <w:b w:val="0"/>
          <w:bCs/>
          <w:kern w:val="0"/>
          <w:sz w:val="32"/>
          <w:szCs w:val="32"/>
          <w:lang w:val="en-US" w:eastAsia="zh-CN"/>
        </w:rPr>
        <w:t>124.65万元</w:t>
      </w:r>
      <w:r>
        <w:rPr>
          <w:rFonts w:hint="eastAsia" w:ascii="仿宋_GB2312" w:eastAsia="仿宋_GB2312" w:cs="仿宋_GB2312"/>
          <w:b w:val="0"/>
          <w:bCs/>
          <w:kern w:val="0"/>
          <w:sz w:val="32"/>
          <w:szCs w:val="32"/>
        </w:rPr>
        <w:t>、办公设备购置</w:t>
      </w:r>
      <w:r>
        <w:rPr>
          <w:rFonts w:hint="eastAsia" w:ascii="仿宋_GB2312" w:eastAsia="仿宋_GB2312" w:cs="仿宋_GB2312"/>
          <w:b w:val="0"/>
          <w:bCs/>
          <w:kern w:val="0"/>
          <w:sz w:val="32"/>
          <w:szCs w:val="32"/>
          <w:lang w:val="en-US" w:eastAsia="zh-CN"/>
        </w:rPr>
        <w:t>0.09万元。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年度“三公”经费财政拨款支出预算为</w:t>
      </w:r>
      <w:r>
        <w:rPr>
          <w:rFonts w:hint="eastAsia" w:ascii="仿宋_GB2312" w:eastAsia="仿宋_GB2312" w:cs="仿宋_GB2312"/>
          <w:bCs/>
          <w:kern w:val="0"/>
          <w:sz w:val="32"/>
          <w:szCs w:val="32"/>
          <w:lang w:val="en-US" w:eastAsia="zh-CN"/>
        </w:rPr>
        <w:t>16.56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12.63</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76.27</w:t>
      </w:r>
      <w:r>
        <w:rPr>
          <w:rFonts w:hint="eastAsia" w:ascii="仿宋_GB2312" w:eastAsia="仿宋_GB2312" w:cs="仿宋_GB2312"/>
          <w:bCs/>
          <w:kern w:val="0"/>
          <w:sz w:val="32"/>
          <w:szCs w:val="32"/>
        </w:rPr>
        <w:t>%，其中：公务用车购置及运行费支出决算为</w:t>
      </w:r>
      <w:r>
        <w:rPr>
          <w:rFonts w:hint="eastAsia" w:ascii="仿宋_GB2312" w:eastAsia="仿宋_GB2312" w:cs="仿宋_GB2312"/>
          <w:bCs/>
          <w:kern w:val="0"/>
          <w:sz w:val="32"/>
          <w:szCs w:val="32"/>
          <w:lang w:val="en-US" w:eastAsia="zh-CN"/>
        </w:rPr>
        <w:t>5.21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86.83</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7.42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70.27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年度“三公”经费支出决算数小于预算数的主要原因是认真贯彻落实中央“八项规定”精神和厉行节约要求，进一步从严控制“三公”经费开支，全年实际支出比预算有所节约（根据实际情况作原因陈述）</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4.21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25</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6.94</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1.71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上升</w:t>
      </w:r>
      <w:r>
        <w:rPr>
          <w:rFonts w:hint="eastAsia" w:ascii="仿宋_GB2312" w:eastAsia="仿宋_GB2312" w:cs="仿宋_GB2312"/>
          <w:bCs/>
          <w:kern w:val="0"/>
          <w:sz w:val="32"/>
          <w:szCs w:val="32"/>
          <w:lang w:val="en-US" w:eastAsia="zh-CN"/>
        </w:rPr>
        <w:t>48.86</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1.02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上升</w:t>
      </w:r>
      <w:r>
        <w:rPr>
          <w:rFonts w:hint="eastAsia" w:ascii="仿宋_GB2312" w:eastAsia="仿宋_GB2312" w:cs="仿宋_GB2312"/>
          <w:bCs/>
          <w:kern w:val="0"/>
          <w:sz w:val="32"/>
          <w:szCs w:val="32"/>
          <w:lang w:val="en-US" w:eastAsia="zh-CN"/>
        </w:rPr>
        <w:t>15.94</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因公出国（境）费支出减少的主要原因是</w:t>
      </w:r>
      <w:r>
        <w:rPr>
          <w:rFonts w:hint="eastAsia" w:ascii="仿宋_GB2312" w:eastAsia="仿宋_GB2312" w:cs="仿宋_GB2312"/>
          <w:bCs/>
          <w:kern w:val="0"/>
          <w:sz w:val="32"/>
          <w:szCs w:val="32"/>
          <w:lang w:val="en-US" w:eastAsia="zh-CN"/>
        </w:rPr>
        <w:t>2019年未安排领导干部出国考察</w:t>
      </w:r>
      <w:r>
        <w:rPr>
          <w:rFonts w:hint="eastAsia" w:ascii="仿宋_GB2312" w:eastAsia="仿宋_GB2312" w:cs="仿宋_GB2312"/>
          <w:bCs/>
          <w:kern w:val="0"/>
          <w:sz w:val="32"/>
          <w:szCs w:val="32"/>
          <w:lang w:eastAsia="zh-CN"/>
        </w:rPr>
        <w:t>；公</w:t>
      </w:r>
      <w:r>
        <w:rPr>
          <w:rFonts w:hint="eastAsia" w:ascii="仿宋_GB2312" w:eastAsia="仿宋_GB2312" w:cs="仿宋_GB2312"/>
          <w:bCs/>
          <w:kern w:val="0"/>
          <w:sz w:val="32"/>
          <w:szCs w:val="32"/>
        </w:rPr>
        <w:t>务用车购置及运行费支出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val="en-US" w:eastAsia="zh-CN"/>
        </w:rPr>
        <w:t>2019年机构改革柳州市物价局合并至我委，其名下有一台行政执法车也一起并入我委，故相关公务用车运行维护费有所增加</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val="en-US" w:eastAsia="zh-CN"/>
        </w:rPr>
        <w:t>2019年机构改革柳州市物价局及柳州市粮食局都合并入我委，我委人数相应有所增加，相关职能也有所增加，故公务接待费也有相应增加</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年度“三公”经费财政拨款支出决算中，公务用车购置及运行费支出决算</w:t>
      </w:r>
      <w:r>
        <w:rPr>
          <w:rFonts w:hint="eastAsia" w:ascii="仿宋_GB2312" w:eastAsia="仿宋_GB2312" w:cs="仿宋_GB2312"/>
          <w:bCs/>
          <w:kern w:val="0"/>
          <w:sz w:val="32"/>
          <w:szCs w:val="32"/>
          <w:lang w:val="en-US" w:eastAsia="zh-CN"/>
        </w:rPr>
        <w:t>5.21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41.25</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7.42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58.75</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1</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val="en-US" w:eastAsia="zh-CN"/>
        </w:rPr>
        <w:t>5.21</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5.21</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车辆维护维修、保险、加油等日常支出。201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2</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val="en-US" w:eastAsia="zh-CN"/>
        </w:rPr>
        <w:t>7.42</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7.42</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接待国内各地来访考察、调研人员</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24</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352</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八、</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年度政府性基金预算财政拨款收入支出决算情况说明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年度政府基金预算财政拨款收、支总决算 </w:t>
      </w:r>
      <w:r>
        <w:rPr>
          <w:rFonts w:hint="eastAsia" w:ascii="仿宋_GB2312" w:eastAsia="仿宋_GB2312" w:cs="仿宋_GB2312"/>
          <w:bCs/>
          <w:kern w:val="0"/>
          <w:sz w:val="32"/>
          <w:szCs w:val="32"/>
          <w:lang w:val="en-US" w:eastAsia="zh-CN"/>
        </w:rPr>
        <w:t>120.98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120.98</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年相比，收、支总计</w:t>
      </w:r>
      <w:r>
        <w:rPr>
          <w:rFonts w:hint="eastAsia" w:ascii="仿宋_GB2312" w:eastAsia="仿宋_GB2312" w:cs="仿宋_GB2312"/>
          <w:bCs/>
          <w:kern w:val="0"/>
          <w:sz w:val="32"/>
          <w:szCs w:val="32"/>
          <w:lang w:eastAsia="zh-CN"/>
        </w:rPr>
        <w:t>均减少</w:t>
      </w:r>
      <w:r>
        <w:rPr>
          <w:rFonts w:hint="eastAsia" w:ascii="仿宋_GB2312" w:eastAsia="仿宋_GB2312" w:cs="仿宋_GB2312"/>
          <w:bCs/>
          <w:kern w:val="0"/>
          <w:sz w:val="32"/>
          <w:szCs w:val="32"/>
          <w:lang w:val="en-US" w:eastAsia="zh-CN"/>
        </w:rPr>
        <w:t>2797.53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95.85</w:t>
      </w:r>
      <w:r>
        <w:rPr>
          <w:rFonts w:hint="eastAsia" w:ascii="仿宋_GB2312" w:eastAsia="仿宋_GB2312" w:cs="仿宋_GB2312"/>
          <w:bCs/>
          <w:kern w:val="0"/>
          <w:sz w:val="32"/>
          <w:szCs w:val="32"/>
        </w:rPr>
        <w:t>%。其中，支出情况为：</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120.98</w:t>
      </w:r>
      <w:r>
        <w:rPr>
          <w:rFonts w:hint="eastAsia" w:ascii="仿宋_GB2312" w:eastAsia="仿宋_GB2312" w:cs="仿宋_GB2312"/>
          <w:bCs/>
          <w:kern w:val="0"/>
          <w:sz w:val="32"/>
          <w:szCs w:val="32"/>
        </w:rPr>
        <w:t>万元，决算大于预算数主要原因：年中追加安排财政拨款支出预算，涉及项目有</w:t>
      </w:r>
      <w:r>
        <w:rPr>
          <w:rFonts w:hint="eastAsia" w:ascii="仿宋_GB2312" w:eastAsia="仿宋_GB2312" w:cs="仿宋_GB2312"/>
          <w:bCs/>
          <w:kern w:val="0"/>
          <w:sz w:val="32"/>
          <w:szCs w:val="32"/>
          <w:lang w:eastAsia="zh-CN"/>
        </w:rPr>
        <w:t>智慧城市项目</w:t>
      </w:r>
      <w:r>
        <w:rPr>
          <w:rFonts w:hint="eastAsia" w:ascii="仿宋_GB2312" w:eastAsia="仿宋_GB2312" w:cs="仿宋_GB2312"/>
          <w:bCs/>
          <w:kern w:val="0"/>
          <w:sz w:val="32"/>
          <w:szCs w:val="32"/>
        </w:rPr>
        <w:t>。其中：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w:t>
      </w:r>
      <w:r>
        <w:rPr>
          <w:rFonts w:hint="eastAsia" w:ascii="仿宋_GB2312" w:eastAsia="仿宋_GB2312" w:cs="仿宋_GB2312"/>
          <w:bCs/>
          <w:kern w:val="0"/>
          <w:sz w:val="32"/>
          <w:szCs w:val="32"/>
          <w:lang w:eastAsia="zh-CN"/>
        </w:rPr>
        <w:t>城市建设</w:t>
      </w:r>
      <w:r>
        <w:rPr>
          <w:rFonts w:hint="eastAsia" w:ascii="仿宋_GB2312" w:eastAsia="仿宋_GB2312" w:cs="仿宋_GB2312"/>
          <w:bCs/>
          <w:kern w:val="0"/>
          <w:sz w:val="32"/>
          <w:szCs w:val="32"/>
        </w:rPr>
        <w:t>（类）支出。年初预算为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120.98</w:t>
      </w:r>
      <w:r>
        <w:rPr>
          <w:rFonts w:hint="eastAsia" w:ascii="仿宋_GB2312" w:eastAsia="仿宋_GB2312" w:cs="仿宋_GB2312"/>
          <w:bCs/>
          <w:kern w:val="0"/>
          <w:sz w:val="32"/>
          <w:szCs w:val="32"/>
        </w:rPr>
        <w:t>万元。决算数大于预算数的主要原因是</w:t>
      </w:r>
      <w:r>
        <w:rPr>
          <w:rFonts w:hint="eastAsia" w:ascii="仿宋_GB2312" w:eastAsia="仿宋_GB2312" w:cs="仿宋_GB2312"/>
          <w:bCs/>
          <w:kern w:val="0"/>
          <w:sz w:val="32"/>
          <w:szCs w:val="32"/>
          <w:lang w:eastAsia="zh-CN"/>
        </w:rPr>
        <w:t>此项经费为年中智慧城市专项拨付的资金，不在年初预算内。</w:t>
      </w:r>
    </w:p>
    <w:p>
      <w:pPr>
        <w:autoSpaceDE w:val="0"/>
        <w:autoSpaceDN w:val="0"/>
        <w:adjustRightInd w:val="0"/>
        <w:ind w:firstLine="643" w:firstLineChars="20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 xml:space="preserve"> 年度预算绩效情况说明</w:t>
      </w:r>
    </w:p>
    <w:p>
      <w:pPr>
        <w:numPr>
          <w:ilvl w:val="0"/>
          <w:numId w:val="3"/>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numPr>
          <w:ilvl w:val="0"/>
          <w:numId w:val="0"/>
        </w:numPr>
        <w:autoSpaceDE w:val="0"/>
        <w:autoSpaceDN w:val="0"/>
        <w:adjustRightInd w:val="0"/>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根据财政预算管理要求，我部门组织对201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年度一般公共预算项目支出全面开展绩效自评。项目</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1500</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 </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r>
        <w:rPr>
          <w:rFonts w:hint="eastAsia" w:ascii="仿宋_GB2312" w:eastAsia="仿宋_GB2312" w:cs="仿宋_GB2312"/>
          <w:bCs/>
          <w:kern w:val="0"/>
          <w:sz w:val="32"/>
          <w:szCs w:val="32"/>
          <w:lang w:eastAsia="zh-CN"/>
        </w:rPr>
        <w:t>为优秀。</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413.43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比 </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77.8</w:t>
      </w:r>
      <w:r>
        <w:rPr>
          <w:rFonts w:hint="eastAsia" w:ascii="仿宋_GB2312" w:eastAsia="仿宋_GB2312" w:cs="仿宋_GB2312"/>
          <w:kern w:val="0"/>
          <w:sz w:val="32"/>
          <w:szCs w:val="32"/>
        </w:rPr>
        <w:t>万元，增</w:t>
      </w:r>
      <w:r>
        <w:rPr>
          <w:rFonts w:hint="eastAsia" w:ascii="仿宋_GB2312" w:eastAsia="仿宋_GB2312" w:cs="仿宋_GB2312"/>
          <w:kern w:val="0"/>
          <w:sz w:val="32"/>
          <w:szCs w:val="32"/>
          <w:lang w:eastAsia="zh-CN"/>
        </w:rPr>
        <w:t>长</w:t>
      </w:r>
      <w:r>
        <w:rPr>
          <w:rFonts w:hint="eastAsia" w:ascii="仿宋_GB2312" w:eastAsia="仿宋_GB2312" w:cs="仿宋_GB2312"/>
          <w:kern w:val="0"/>
          <w:sz w:val="32"/>
          <w:szCs w:val="32"/>
          <w:lang w:val="en-US" w:eastAsia="zh-CN"/>
        </w:rPr>
        <w:t>23.18</w:t>
      </w:r>
      <w:r>
        <w:rPr>
          <w:rFonts w:hint="eastAsia" w:ascii="仿宋_GB2312" w:eastAsia="仿宋_GB2312" w:cs="仿宋_GB2312"/>
          <w:kern w:val="0"/>
          <w:sz w:val="32"/>
          <w:szCs w:val="32"/>
        </w:rPr>
        <w:t>%，增</w:t>
      </w:r>
      <w:r>
        <w:rPr>
          <w:rFonts w:hint="eastAsia" w:ascii="仿宋_GB2312" w:eastAsia="仿宋_GB2312" w:cs="仿宋_GB2312"/>
          <w:kern w:val="0"/>
          <w:sz w:val="32"/>
          <w:szCs w:val="32"/>
          <w:lang w:eastAsia="zh-CN"/>
        </w:rPr>
        <w:t>长</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：由于机构改革原物价局、原粮食局合并至我委，我委人数增加了</w:t>
      </w:r>
      <w:r>
        <w:rPr>
          <w:rFonts w:hint="eastAsia" w:ascii="仿宋_GB2312" w:eastAsia="仿宋_GB2312" w:cs="仿宋_GB2312"/>
          <w:kern w:val="0"/>
          <w:sz w:val="32"/>
          <w:szCs w:val="32"/>
          <w:lang w:val="en-US" w:eastAsia="zh-CN"/>
        </w:rPr>
        <w:t>33</w:t>
      </w:r>
      <w:r>
        <w:rPr>
          <w:rFonts w:hint="eastAsia" w:ascii="仿宋_GB2312" w:eastAsia="仿宋_GB2312" w:cs="仿宋_GB2312"/>
          <w:kern w:val="0"/>
          <w:sz w:val="32"/>
          <w:szCs w:val="32"/>
          <w:lang w:eastAsia="zh-CN"/>
        </w:rPr>
        <w:t>人相应的人员经费和机关运行经费都有增加</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1233.14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111.22</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1121.92</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辆。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其他收入：指除上述“财政拨款收入”、“事业收入”、“经营收入”等以外的收入。主要是：</w:t>
      </w:r>
      <w:r>
        <w:rPr>
          <w:rFonts w:hint="eastAsia" w:ascii="仿宋_GB2312" w:eastAsia="仿宋_GB2312"/>
          <w:b w:val="0"/>
          <w:bCs/>
          <w:sz w:val="32"/>
          <w:szCs w:val="32"/>
          <w:lang w:val="en-US" w:eastAsia="zh-CN"/>
        </w:rPr>
        <w:t>利息收入</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ind w:left="-645" w:leftChars="0" w:firstLine="645" w:firstLineChars="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- 16 -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pPr>
        <w:ind w:left="-645"/>
      </w:pPr>
    </w:lvl>
  </w:abstractNum>
  <w:abstractNum w:abstractNumId="2">
    <w:nsid w:val="5F2A72E7"/>
    <w:multiLevelType w:val="singleLevel"/>
    <w:tmpl w:val="5F2A72E7"/>
    <w:lvl w:ilvl="0" w:tentative="0">
      <w:start w:val="1"/>
      <w:numFmt w:val="chineseCounting"/>
      <w:suff w:val="nothing"/>
      <w:lvlText w:val="%1、"/>
      <w:lvlJc w:val="left"/>
      <w:pPr>
        <w:ind w:left="-646"/>
      </w:pPr>
    </w:lvl>
  </w:abstractNum>
  <w:abstractNum w:abstractNumId="3">
    <w:nsid w:val="5F2A72FA"/>
    <w:multiLevelType w:val="singleLevel"/>
    <w:tmpl w:val="5F2A72FA"/>
    <w:lvl w:ilvl="0" w:tentative="0">
      <w:start w:val="1"/>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6E1C8A"/>
    <w:rsid w:val="08085B31"/>
    <w:rsid w:val="10E85373"/>
    <w:rsid w:val="26460DBA"/>
    <w:rsid w:val="2C4219FE"/>
    <w:rsid w:val="2F09459C"/>
    <w:rsid w:val="39A63F06"/>
    <w:rsid w:val="3ED1439F"/>
    <w:rsid w:val="4C256E3D"/>
    <w:rsid w:val="4CB52F0F"/>
    <w:rsid w:val="532F1F9A"/>
    <w:rsid w:val="55FD4291"/>
    <w:rsid w:val="5D0D0952"/>
    <w:rsid w:val="62163194"/>
    <w:rsid w:val="651D33E9"/>
    <w:rsid w:val="67562B85"/>
    <w:rsid w:val="6D39327C"/>
    <w:rsid w:val="7DA7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正文1"/>
    <w:basedOn w:val="9"/>
    <w:qFormat/>
    <w:uiPriority w:val="0"/>
    <w:pPr>
      <w:widowControl/>
    </w:pPr>
    <w:rPr>
      <w:rFonts w:eastAsia="Times New Roman"/>
      <w:kern w:val="0"/>
      <w:szCs w:val="20"/>
      <w:lang w:val="zh-CN"/>
    </w:rPr>
  </w:style>
  <w:style w:type="paragraph" w:customStyle="1" w:styleId="9">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CY</cp:lastModifiedBy>
  <dcterms:modified xsi:type="dcterms:W3CDTF">2021-06-10T07:47:36Z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741AE228B7A5454BAE7D1614A9F2E3BC</vt:lpwstr>
  </property>
</Properties>
</file>