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rPr>
          <w:rFonts w:hint="eastAsia" w:ascii="黑体" w:eastAsia="黑体" w:cs="ArialUnicodeMS"/>
          <w:kern w:val="0"/>
          <w:sz w:val="72"/>
          <w:szCs w:val="72"/>
        </w:rPr>
      </w:pPr>
    </w:p>
    <w:p>
      <w:pPr>
        <w:jc w:val="center"/>
        <w:rPr>
          <w:rFonts w:hint="eastAsia" w:ascii="黑体" w:hAnsi="黑体" w:eastAsia="黑体"/>
          <w:bCs/>
          <w:color w:val="000000"/>
          <w:sz w:val="52"/>
          <w:szCs w:val="52"/>
          <w:u w:val="none"/>
          <w:lang w:eastAsia="zh-CN"/>
        </w:rPr>
      </w:pPr>
      <w:r>
        <w:rPr>
          <w:rFonts w:hint="eastAsia" w:ascii="黑体" w:eastAsia="黑体" w:cs="ArialUnicodeMS"/>
          <w:kern w:val="0"/>
          <w:sz w:val="52"/>
          <w:szCs w:val="52"/>
          <w:lang w:eastAsia="zh-CN"/>
        </w:rPr>
        <w:t>柳州市</w:t>
      </w:r>
      <w:r>
        <w:rPr>
          <w:rFonts w:hint="eastAsia" w:ascii="黑体" w:hAnsi="黑体" w:eastAsia="黑体"/>
          <w:bCs/>
          <w:color w:val="000000"/>
          <w:sz w:val="52"/>
          <w:szCs w:val="52"/>
          <w:u w:val="none"/>
          <w:lang w:eastAsia="zh-CN"/>
        </w:rPr>
        <w:t>残疾人联合会</w:t>
      </w:r>
    </w:p>
    <w:p>
      <w:pPr>
        <w:jc w:val="center"/>
        <w:rPr>
          <w:rFonts w:hint="eastAsia" w:ascii="黑体" w:eastAsia="黑体" w:cs="ArialUnicodeMS"/>
          <w:kern w:val="0"/>
          <w:sz w:val="52"/>
          <w:szCs w:val="52"/>
        </w:rPr>
      </w:pPr>
      <w:r>
        <w:rPr>
          <w:rFonts w:hint="eastAsia" w:ascii="黑体" w:eastAsia="黑体"/>
          <w:kern w:val="0"/>
          <w:sz w:val="52"/>
          <w:szCs w:val="52"/>
          <w:lang w:val="en-US" w:eastAsia="zh-CN"/>
        </w:rPr>
        <w:t>2019</w:t>
      </w:r>
      <w:r>
        <w:rPr>
          <w:rFonts w:hint="eastAsia" w:ascii="黑体" w:eastAsia="黑体" w:cs="ArialUnicodeMS"/>
          <w:kern w:val="0"/>
          <w:sz w:val="52"/>
          <w:szCs w:val="52"/>
        </w:rPr>
        <w:t>年</w:t>
      </w:r>
      <w:r>
        <w:rPr>
          <w:rFonts w:hint="eastAsia" w:ascii="黑体" w:eastAsia="黑体" w:cs="ArialUnicodeMS"/>
          <w:kern w:val="0"/>
          <w:sz w:val="52"/>
          <w:szCs w:val="52"/>
          <w:lang w:eastAsia="zh-CN"/>
        </w:rPr>
        <w:t>度</w:t>
      </w:r>
      <w:r>
        <w:rPr>
          <w:rFonts w:hint="eastAsia" w:ascii="黑体" w:eastAsia="黑体" w:cs="ArialUnicodeMS"/>
          <w:kern w:val="0"/>
          <w:sz w:val="52"/>
          <w:szCs w:val="52"/>
        </w:rPr>
        <w:t>部门决算</w:t>
      </w: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rPr>
          <w:rFonts w:hint="eastAsia"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柳州市残疾人联合会</w:t>
      </w:r>
      <w:r>
        <w:rPr>
          <w:rFonts w:hint="eastAsia" w:ascii="仿宋_GB2312" w:eastAsia="仿宋_GB2312"/>
          <w:b/>
          <w:sz w:val="32"/>
          <w:szCs w:val="32"/>
        </w:rPr>
        <w:t>概况</w:t>
      </w:r>
    </w:p>
    <w:p>
      <w:pPr>
        <w:ind w:firstLine="645"/>
        <w:rPr>
          <w:rFonts w:hint="eastAsia"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rPr>
      </w:pPr>
      <w:r>
        <w:rPr>
          <w:rFonts w:hint="eastAsia" w:ascii="仿宋_GB2312" w:eastAsia="仿宋_GB2312"/>
          <w:sz w:val="32"/>
          <w:szCs w:val="32"/>
        </w:rPr>
        <w:t>二、部门决算单位构成</w:t>
      </w:r>
    </w:p>
    <w:p>
      <w:pPr>
        <w:ind w:firstLine="645"/>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柳州市残疾人联合会</w:t>
      </w:r>
      <w:r>
        <w:rPr>
          <w:rFonts w:hint="eastAsia" w:ascii="仿宋_GB2312" w:eastAsia="仿宋_GB2312"/>
          <w:b/>
          <w:sz w:val="32"/>
          <w:szCs w:val="32"/>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柳州市残疾人联合会</w:t>
      </w:r>
      <w:r>
        <w:rPr>
          <w:rFonts w:hint="eastAsia" w:ascii="仿宋_GB2312" w:eastAsia="仿宋_GB2312"/>
          <w:b/>
          <w:sz w:val="32"/>
          <w:szCs w:val="32"/>
        </w:rPr>
        <w:t>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ind w:firstLine="645"/>
        <w:rPr>
          <w:rFonts w:hint="eastAsia" w:ascii="仿宋_GB2312" w:eastAsia="仿宋_GB2312"/>
          <w:b/>
          <w:sz w:val="32"/>
          <w:szCs w:val="32"/>
        </w:rPr>
      </w:pP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收入</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支出</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财政拨款收入支出决算情况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五、</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六、</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一般公共预算财政拨款基本支出决算情况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七、</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一般公共预算财政拨款“三公”经费支出决算情况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八、</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九、</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rPr>
        <w:t>其他重要事项的情况说明</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ind w:firstLine="646"/>
        <w:jc w:val="center"/>
        <w:rPr>
          <w:rFonts w:ascii="仿宋_GB2312" w:eastAsia="仿宋_GB2312"/>
          <w:b/>
          <w:sz w:val="32"/>
          <w:szCs w:val="32"/>
        </w:rPr>
      </w:pPr>
      <w:r>
        <w:rPr>
          <w:rFonts w:hint="eastAsia" w:ascii="仿宋_GB2312" w:eastAsia="仿宋_GB2312" w:cs="仿宋_GB2312"/>
          <w:b w:val="0"/>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柳州市残疾人联合会</w:t>
      </w:r>
      <w:r>
        <w:rPr>
          <w:rFonts w:hint="eastAsia" w:ascii="仿宋_GB2312" w:eastAsia="仿宋_GB2312"/>
          <w:b/>
          <w:sz w:val="32"/>
          <w:szCs w:val="32"/>
        </w:rPr>
        <w:t>概况</w:t>
      </w:r>
    </w:p>
    <w:p>
      <w:pPr>
        <w:ind w:firstLine="646"/>
        <w:rPr>
          <w:rFonts w:hint="eastAsia" w:ascii="仿宋_GB2312" w:eastAsia="仿宋_GB2312"/>
          <w:sz w:val="32"/>
          <w:szCs w:val="32"/>
        </w:rPr>
      </w:pPr>
      <w:r>
        <w:rPr>
          <w:rFonts w:hint="eastAsia" w:ascii="仿宋_GB2312" w:eastAsia="仿宋_GB2312"/>
          <w:sz w:val="32"/>
          <w:szCs w:val="32"/>
        </w:rPr>
        <w:t>一、主要职能</w:t>
      </w:r>
    </w:p>
    <w:p>
      <w:pPr>
        <w:spacing w:line="500" w:lineRule="exact"/>
        <w:ind w:firstLine="645"/>
        <w:rPr>
          <w:rFonts w:ascii="仿宋_GB2312" w:eastAsia="仿宋_GB2312"/>
          <w:sz w:val="32"/>
          <w:szCs w:val="32"/>
        </w:rPr>
      </w:pPr>
      <w:r>
        <w:rPr>
          <w:rFonts w:hint="eastAsia" w:ascii="仿宋_GB2312" w:eastAsia="仿宋_GB2312"/>
          <w:sz w:val="32"/>
          <w:szCs w:val="32"/>
        </w:rPr>
        <w:t>(一)宣传贯彻《中华人民共和国残疾人保障法》，维护残疾人权益，听取残疾人意见，反映残疾人需求，全心全意为残疾人服务。</w:t>
      </w:r>
    </w:p>
    <w:p>
      <w:pPr>
        <w:spacing w:line="500" w:lineRule="exact"/>
        <w:ind w:firstLine="645"/>
        <w:rPr>
          <w:rFonts w:ascii="仿宋_GB2312" w:eastAsia="仿宋_GB2312"/>
          <w:sz w:val="32"/>
          <w:szCs w:val="32"/>
        </w:rPr>
      </w:pPr>
      <w:r>
        <w:rPr>
          <w:rFonts w:hint="eastAsia" w:ascii="仿宋_GB2312" w:eastAsia="仿宋_GB2312"/>
          <w:sz w:val="32"/>
          <w:szCs w:val="32"/>
        </w:rPr>
        <w:t>(二)团结、教育残疾人遵守法律，履行应尽的义务，发扬乐观进取精神，自尊、自信、自强、自立，为社会主义建设贡献力量。</w:t>
      </w:r>
    </w:p>
    <w:p>
      <w:pPr>
        <w:spacing w:line="500" w:lineRule="exact"/>
        <w:ind w:firstLine="645"/>
        <w:rPr>
          <w:rFonts w:ascii="仿宋_GB2312" w:eastAsia="仿宋_GB2312"/>
          <w:sz w:val="32"/>
          <w:szCs w:val="32"/>
        </w:rPr>
      </w:pPr>
      <w:r>
        <w:rPr>
          <w:rFonts w:hint="eastAsia" w:ascii="仿宋_GB2312" w:eastAsia="仿宋_GB2312"/>
          <w:sz w:val="32"/>
          <w:szCs w:val="32"/>
        </w:rPr>
        <w:t>(三)沟通政府、社会与残疾人之间的联系，宣传残疾人事业，动员社会理解、尊重、关心、帮助残疾人。</w:t>
      </w:r>
    </w:p>
    <w:p>
      <w:pPr>
        <w:spacing w:line="500" w:lineRule="exact"/>
        <w:ind w:firstLine="645"/>
        <w:rPr>
          <w:rFonts w:ascii="仿宋_GB2312" w:eastAsia="仿宋_GB2312"/>
          <w:sz w:val="32"/>
          <w:szCs w:val="32"/>
        </w:rPr>
      </w:pPr>
      <w:r>
        <w:rPr>
          <w:rFonts w:hint="eastAsia" w:ascii="仿宋_GB2312" w:eastAsia="仿宋_GB2312"/>
          <w:sz w:val="32"/>
          <w:szCs w:val="32"/>
        </w:rPr>
        <w:t>(四)开展和促进残疾人康复、教育、劳动就业、扶贫、维权、文化体育、社会保障和残疾预防等工作，改善残疾人参与社会生活的环境和条件。</w:t>
      </w:r>
    </w:p>
    <w:p>
      <w:pPr>
        <w:spacing w:line="500" w:lineRule="exact"/>
        <w:ind w:firstLine="645"/>
        <w:rPr>
          <w:rFonts w:ascii="仿宋_GB2312" w:eastAsia="仿宋_GB2312"/>
          <w:sz w:val="32"/>
          <w:szCs w:val="32"/>
        </w:rPr>
      </w:pPr>
      <w:r>
        <w:rPr>
          <w:rFonts w:hint="eastAsia" w:ascii="仿宋_GB2312" w:eastAsia="仿宋_GB2312"/>
          <w:sz w:val="32"/>
          <w:szCs w:val="32"/>
        </w:rPr>
        <w:t>(五)参与研究、制订和实施残疾人事业的法律、法规、政策、规划和计划，发挥综合、协调、咨询、服务作用，对有关领域的工作进行管理和指导。</w:t>
      </w:r>
    </w:p>
    <w:p>
      <w:pPr>
        <w:spacing w:line="500" w:lineRule="exact"/>
        <w:ind w:firstLine="645"/>
        <w:rPr>
          <w:rFonts w:ascii="仿宋_GB2312" w:eastAsia="仿宋_GB2312"/>
          <w:sz w:val="32"/>
          <w:szCs w:val="32"/>
        </w:rPr>
      </w:pPr>
      <w:r>
        <w:rPr>
          <w:rFonts w:hint="eastAsia" w:ascii="仿宋_GB2312" w:eastAsia="仿宋_GB2312"/>
          <w:sz w:val="32"/>
          <w:szCs w:val="32"/>
        </w:rPr>
        <w:t>(六)管理和指导各类残疾人群众组织，培养残疾人工作者，使残疾人在残疾人组织中更加活跃，残疾人组织在基层更加活跃，残疾人和残疾人组织在社会上更加活跃。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(七)承担市人民政府及残疾人工作委员会的日常工作。</w:t>
      </w:r>
    </w:p>
    <w:p>
      <w:pPr>
        <w:ind w:firstLine="646"/>
        <w:rPr>
          <w:rFonts w:hint="eastAsia" w:ascii="仿宋_GB2312" w:eastAsia="仿宋_GB2312"/>
          <w:sz w:val="32"/>
          <w:szCs w:val="32"/>
        </w:rPr>
      </w:pPr>
      <w:r>
        <w:rPr>
          <w:rFonts w:hint="eastAsia" w:ascii="仿宋_GB2312" w:eastAsia="仿宋_GB2312"/>
          <w:sz w:val="32"/>
          <w:szCs w:val="32"/>
        </w:rPr>
        <w:t>二、部门决算单位构成</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柳州市残疾人联合会（本级）为参公事业单位，下属两个单位分别为柳州市残疾人劳动就业服务中心（差额拨款事业单位）和柳州市残疾人康复中心（全额拨款事业单位）。</w:t>
      </w:r>
    </w:p>
    <w:p>
      <w:pPr>
        <w:ind w:firstLine="645"/>
        <w:rPr>
          <w:rFonts w:hint="eastAsia" w:ascii="仿宋_GB2312" w:eastAsia="仿宋_GB2312"/>
          <w:sz w:val="32"/>
          <w:szCs w:val="32"/>
        </w:rPr>
      </w:pPr>
    </w:p>
    <w:p>
      <w:pPr>
        <w:jc w:val="center"/>
        <w:rPr>
          <w:rFonts w:hint="eastAsia" w:ascii="仿宋_GB2312" w:eastAsia="仿宋_GB2312"/>
          <w:b/>
          <w:sz w:val="32"/>
          <w:szCs w:val="32"/>
        </w:rPr>
      </w:pPr>
    </w:p>
    <w:p>
      <w:pPr>
        <w:jc w:val="left"/>
        <w:rPr>
          <w:rFonts w:hint="eastAsia" w:ascii="仿宋_GB2312" w:eastAsia="仿宋_GB2312"/>
          <w:sz w:val="32"/>
          <w:szCs w:val="32"/>
        </w:rPr>
      </w:pPr>
      <w:bookmarkStart w:id="0" w:name="_GoBack"/>
      <w:r>
        <w:rPr>
          <w:rFonts w:hint="eastAsia" w:ascii="仿宋_GB2312" w:eastAsia="仿宋_GB2312"/>
          <w:b/>
          <w:sz w:val="32"/>
          <w:szCs w:val="32"/>
        </w:rPr>
        <w:t>第二部分：</w:t>
      </w:r>
      <w:r>
        <w:rPr>
          <w:rFonts w:hint="eastAsia" w:ascii="仿宋_GB2312" w:hAnsi="黑体" w:eastAsia="仿宋_GB2312"/>
          <w:b/>
          <w:bCs/>
          <w:color w:val="000000"/>
          <w:sz w:val="32"/>
          <w:szCs w:val="32"/>
        </w:rPr>
        <w:t>柳州市残疾人联合会</w:t>
      </w:r>
      <w:r>
        <w:rPr>
          <w:rFonts w:hint="eastAsia" w:ascii="仿宋_GB2312" w:eastAsia="仿宋_GB2312"/>
          <w:b/>
          <w:sz w:val="32"/>
          <w:szCs w:val="32"/>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bookmarkEnd w:id="0"/>
    <w:tbl>
      <w:tblPr>
        <w:tblStyle w:val="4"/>
        <w:tblpPr w:leftFromText="180" w:rightFromText="180" w:vertAnchor="text" w:horzAnchor="page" w:tblpX="1383" w:tblpY="301"/>
        <w:tblOverlap w:val="never"/>
        <w:tblW w:w="9140" w:type="dxa"/>
        <w:tblInd w:w="0" w:type="dxa"/>
        <w:shd w:val="clear" w:color="auto" w:fill="auto"/>
        <w:tblLayout w:type="fixed"/>
        <w:tblCellMar>
          <w:top w:w="0" w:type="dxa"/>
          <w:left w:w="0" w:type="dxa"/>
          <w:bottom w:w="0" w:type="dxa"/>
          <w:right w:w="0" w:type="dxa"/>
        </w:tblCellMar>
      </w:tblPr>
      <w:tblGrid>
        <w:gridCol w:w="2809"/>
        <w:gridCol w:w="1978"/>
        <w:gridCol w:w="571"/>
        <w:gridCol w:w="2349"/>
        <w:gridCol w:w="326"/>
        <w:gridCol w:w="1107"/>
      </w:tblGrid>
      <w:tr>
        <w:tblPrEx>
          <w:shd w:val="clear" w:color="auto" w:fill="auto"/>
          <w:tblCellMar>
            <w:top w:w="0" w:type="dxa"/>
            <w:left w:w="0" w:type="dxa"/>
            <w:bottom w:w="0" w:type="dxa"/>
            <w:right w:w="0" w:type="dxa"/>
          </w:tblCellMar>
        </w:tblPrEx>
        <w:trPr>
          <w:trHeight w:val="473" w:hRule="atLeast"/>
        </w:trPr>
        <w:tc>
          <w:tcPr>
            <w:tcW w:w="9140" w:type="dxa"/>
            <w:gridSpan w:val="6"/>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方正小标宋简体" w:hAnsi="宋体" w:eastAsia="方正小标宋简体" w:cs="宋体"/>
                <w:kern w:val="0"/>
                <w:sz w:val="36"/>
                <w:szCs w:val="36"/>
                <w:lang w:val="en-US" w:eastAsia="zh-CN"/>
              </w:rPr>
              <w:t>表一：收入支出决算批复表</w:t>
            </w:r>
          </w:p>
        </w:tc>
      </w:tr>
      <w:tr>
        <w:tblPrEx>
          <w:tblCellMar>
            <w:top w:w="0" w:type="dxa"/>
            <w:left w:w="0" w:type="dxa"/>
            <w:bottom w:w="0" w:type="dxa"/>
            <w:right w:w="0" w:type="dxa"/>
          </w:tblCellMar>
        </w:tblPrEx>
        <w:trPr>
          <w:trHeight w:val="246" w:hRule="atLeast"/>
        </w:trPr>
        <w:tc>
          <w:tcPr>
            <w:tcW w:w="2809" w:type="dxa"/>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1978" w:type="dxa"/>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571" w:type="dxa"/>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2349" w:type="dxa"/>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326"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1107" w:type="dxa"/>
            <w:tcBorders>
              <w:top w:val="nil"/>
              <w:left w:val="nil"/>
              <w:bottom w:val="nil"/>
              <w:right w:val="nil"/>
            </w:tcBorders>
            <w:shd w:val="clear" w:color="auto" w:fill="FFFFFF"/>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财决批复</w:t>
            </w:r>
            <w:r>
              <w:rPr>
                <w:rStyle w:val="7"/>
                <w:rFonts w:eastAsia="宋体"/>
                <w:lang w:val="en-US" w:eastAsia="zh-CN" w:bidi="ar"/>
              </w:rPr>
              <w:t>01</w:t>
            </w:r>
            <w:r>
              <w:rPr>
                <w:rStyle w:val="8"/>
                <w:lang w:val="en-US" w:eastAsia="zh-CN" w:bidi="ar"/>
              </w:rPr>
              <w:t>表</w:t>
            </w:r>
          </w:p>
        </w:tc>
      </w:tr>
      <w:tr>
        <w:tblPrEx>
          <w:tblCellMar>
            <w:top w:w="0" w:type="dxa"/>
            <w:left w:w="0" w:type="dxa"/>
            <w:bottom w:w="0" w:type="dxa"/>
            <w:right w:w="0" w:type="dxa"/>
          </w:tblCellMar>
        </w:tblPrEx>
        <w:trPr>
          <w:trHeight w:val="246" w:hRule="atLeast"/>
        </w:trPr>
        <w:tc>
          <w:tcPr>
            <w:tcW w:w="2809" w:type="dxa"/>
            <w:tcBorders>
              <w:top w:val="nil"/>
              <w:left w:val="nil"/>
              <w:bottom w:val="nil"/>
              <w:right w:val="nil"/>
            </w:tcBorders>
            <w:shd w:val="clear" w:color="auto" w:fill="FFFFFF"/>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部门：柳州市残疾人联合会</w:t>
            </w:r>
          </w:p>
        </w:tc>
        <w:tc>
          <w:tcPr>
            <w:tcW w:w="1978" w:type="dxa"/>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571" w:type="dxa"/>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2349" w:type="dxa"/>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326"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1107" w:type="dxa"/>
            <w:tcBorders>
              <w:top w:val="nil"/>
              <w:left w:val="nil"/>
              <w:bottom w:val="nil"/>
              <w:right w:val="nil"/>
            </w:tcBorders>
            <w:shd w:val="clear" w:color="auto" w:fill="FFFFFF"/>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CellMar>
            <w:top w:w="0" w:type="dxa"/>
            <w:left w:w="0" w:type="dxa"/>
            <w:bottom w:w="0" w:type="dxa"/>
            <w:right w:w="0" w:type="dxa"/>
          </w:tblCellMar>
        </w:tblPrEx>
        <w:trPr>
          <w:trHeight w:val="284" w:hRule="atLeast"/>
        </w:trPr>
        <w:tc>
          <w:tcPr>
            <w:tcW w:w="535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     入</w:t>
            </w:r>
          </w:p>
        </w:tc>
        <w:tc>
          <w:tcPr>
            <w:tcW w:w="378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     出</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行次</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2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行次</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一、一般公共预算财政拨款收入</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5160.46 </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一、一般公共服务支出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二、政府性基金预算财政拨款收入</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63.00 </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二、外交支出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三、上级补助收入</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三、国防支出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四、事业收入</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154.86 </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四、公共安全支出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五、经营收入</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五、教育支出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六、附属单位上缴收入</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六、科学技术支出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七、其他收入</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68.70 </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七、文化旅游体育与传媒支出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八、社会保障和就业支出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5558.87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九、卫生健康支出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50.80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十、节能环保支出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十一、城乡社区支出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十二、农林水支出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十三、交通运输支出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十四、资源勘探信息等支出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十五、商业服务业等支出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十六、金融支出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十七、援助其他地区支出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十八、自然资源海洋气象等支出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十九、住房保障支出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39.49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二十、粮油物资储备支出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二十一、灾害防治及应急管理支出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二十二、其他支出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二十三、债务还本支出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二十四、债务付息支出</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本年收入合计</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5447.02 </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本年支出合计</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5712.16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用事业基金弥补收支差额</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结余分配</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1603.52 </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1338.38 </w:t>
            </w: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4" w:hRule="atLeast"/>
        </w:trPr>
        <w:tc>
          <w:tcPr>
            <w:tcW w:w="28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总计</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7050.54 </w:t>
            </w:r>
          </w:p>
        </w:tc>
        <w:tc>
          <w:tcPr>
            <w:tcW w:w="2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总计</w:t>
            </w:r>
          </w:p>
        </w:tc>
        <w:tc>
          <w:tcPr>
            <w:tcW w:w="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7050.54 </w:t>
            </w:r>
          </w:p>
        </w:tc>
      </w:tr>
      <w:tr>
        <w:tblPrEx>
          <w:tblCellMar>
            <w:top w:w="0" w:type="dxa"/>
            <w:left w:w="0" w:type="dxa"/>
            <w:bottom w:w="0" w:type="dxa"/>
            <w:right w:w="0" w:type="dxa"/>
          </w:tblCellMar>
        </w:tblPrEx>
        <w:trPr>
          <w:trHeight w:val="480" w:hRule="atLeast"/>
        </w:trPr>
        <w:tc>
          <w:tcPr>
            <w:tcW w:w="2809"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注：1.本表依据《收入支出决算总表》（财决01</w:t>
            </w:r>
            <w:r>
              <w:rPr>
                <w:rStyle w:val="8"/>
                <w:lang w:val="en-US" w:eastAsia="zh-CN" w:bidi="ar"/>
              </w:rPr>
              <w:t>表）进行批复。</w:t>
            </w:r>
          </w:p>
        </w:tc>
        <w:tc>
          <w:tcPr>
            <w:tcW w:w="1978"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571"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2349"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326"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1107"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73" w:hRule="atLeast"/>
        </w:trPr>
        <w:tc>
          <w:tcPr>
            <w:tcW w:w="2809"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2.本表以“万元”为金额单位（保留两位小数）。</w:t>
            </w:r>
          </w:p>
        </w:tc>
        <w:tc>
          <w:tcPr>
            <w:tcW w:w="1978"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571"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2349"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326"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1107"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r>
    </w:tbl>
    <w:p>
      <w:pPr>
        <w:jc w:val="center"/>
      </w:pPr>
    </w:p>
    <w:p>
      <w:pPr>
        <w:jc w:val="center"/>
      </w:pPr>
    </w:p>
    <w:p>
      <w:pPr>
        <w:jc w:val="left"/>
        <w:rPr>
          <w:rFonts w:hint="eastAsia" w:ascii="仿宋_GB2312" w:eastAsia="仿宋_GB2312"/>
          <w:b/>
          <w:sz w:val="32"/>
          <w:szCs w:val="32"/>
        </w:rPr>
      </w:pPr>
    </w:p>
    <w:p>
      <w:pPr>
        <w:spacing w:line="560" w:lineRule="exact"/>
        <w:jc w:val="left"/>
        <w:rPr>
          <w:rFonts w:hint="eastAsia" w:ascii="仿宋_GB2312" w:eastAsia="仿宋_GB2312"/>
          <w:b/>
          <w:spacing w:val="-20"/>
          <w:sz w:val="32"/>
          <w:szCs w:val="32"/>
        </w:rPr>
      </w:pPr>
    </w:p>
    <w:p>
      <w:pPr>
        <w:spacing w:line="560" w:lineRule="exact"/>
        <w:jc w:val="left"/>
        <w:rPr>
          <w:rFonts w:hint="eastAsia" w:ascii="仿宋_GB2312" w:eastAsia="仿宋_GB2312"/>
          <w:b/>
          <w:spacing w:val="-20"/>
          <w:sz w:val="32"/>
          <w:szCs w:val="32"/>
        </w:rPr>
      </w:pPr>
    </w:p>
    <w:p>
      <w:pPr>
        <w:spacing w:line="560" w:lineRule="exact"/>
        <w:jc w:val="left"/>
        <w:rPr>
          <w:rFonts w:hint="eastAsia" w:ascii="仿宋_GB2312" w:eastAsia="仿宋_GB2312"/>
          <w:b/>
          <w:spacing w:val="-20"/>
          <w:sz w:val="32"/>
          <w:szCs w:val="32"/>
        </w:rPr>
      </w:pPr>
    </w:p>
    <w:p>
      <w:pPr>
        <w:spacing w:line="560" w:lineRule="exact"/>
        <w:jc w:val="left"/>
        <w:rPr>
          <w:rFonts w:hint="eastAsia" w:ascii="仿宋_GB2312" w:eastAsia="仿宋_GB2312"/>
          <w:b/>
          <w:spacing w:val="-20"/>
          <w:sz w:val="32"/>
          <w:szCs w:val="32"/>
        </w:rPr>
      </w:pPr>
    </w:p>
    <w:p>
      <w:pPr>
        <w:spacing w:line="560" w:lineRule="exact"/>
        <w:jc w:val="center"/>
        <w:rPr>
          <w:rFonts w:hint="eastAsia" w:ascii="仿宋_GB2312" w:eastAsia="仿宋_GB2312"/>
          <w:b/>
          <w:spacing w:val="-20"/>
          <w:sz w:val="32"/>
          <w:szCs w:val="32"/>
        </w:rPr>
      </w:pPr>
    </w:p>
    <w:p>
      <w:pPr>
        <w:spacing w:line="560" w:lineRule="exact"/>
        <w:jc w:val="center"/>
        <w:rPr>
          <w:rFonts w:hint="eastAsia" w:ascii="仿宋_GB2312" w:eastAsia="仿宋_GB2312"/>
          <w:b/>
          <w:spacing w:val="-20"/>
          <w:sz w:val="32"/>
          <w:szCs w:val="32"/>
        </w:rPr>
      </w:pPr>
    </w:p>
    <w:p>
      <w:pPr>
        <w:spacing w:line="560" w:lineRule="exact"/>
        <w:jc w:val="center"/>
        <w:rPr>
          <w:rFonts w:hint="eastAsia" w:ascii="仿宋_GB2312" w:eastAsia="仿宋_GB2312"/>
          <w:b/>
          <w:spacing w:val="-20"/>
          <w:sz w:val="32"/>
          <w:szCs w:val="32"/>
        </w:rPr>
      </w:pPr>
    </w:p>
    <w:p>
      <w:pPr>
        <w:spacing w:line="560" w:lineRule="exact"/>
        <w:jc w:val="center"/>
        <w:rPr>
          <w:rFonts w:hint="eastAsia" w:ascii="仿宋_GB2312" w:eastAsia="仿宋_GB2312"/>
          <w:b/>
          <w:spacing w:val="-20"/>
          <w:sz w:val="32"/>
          <w:szCs w:val="32"/>
        </w:rPr>
      </w:pPr>
    </w:p>
    <w:p>
      <w:pPr>
        <w:spacing w:line="560" w:lineRule="exact"/>
        <w:jc w:val="center"/>
        <w:rPr>
          <w:rFonts w:hint="eastAsia" w:ascii="仿宋_GB2312" w:eastAsia="仿宋_GB2312"/>
          <w:b/>
          <w:spacing w:val="-20"/>
          <w:sz w:val="32"/>
          <w:szCs w:val="32"/>
        </w:rPr>
      </w:pPr>
    </w:p>
    <w:p>
      <w:pPr>
        <w:spacing w:line="560" w:lineRule="exact"/>
        <w:jc w:val="center"/>
        <w:rPr>
          <w:rFonts w:hint="eastAsia" w:ascii="仿宋_GB2312" w:eastAsia="仿宋_GB2312"/>
          <w:b/>
          <w:spacing w:val="-20"/>
          <w:sz w:val="32"/>
          <w:szCs w:val="32"/>
        </w:rPr>
      </w:pPr>
    </w:p>
    <w:p>
      <w:pPr>
        <w:ind w:left="645"/>
        <w:rPr>
          <w:rFonts w:hint="eastAsia" w:ascii="仿宋_GB2312" w:eastAsia="仿宋_GB2312"/>
          <w:sz w:val="32"/>
          <w:szCs w:val="32"/>
        </w:rPr>
        <w:sectPr>
          <w:headerReference r:id="rId3" w:type="default"/>
          <w:footerReference r:id="rId4" w:type="default"/>
          <w:pgSz w:w="11906" w:h="16838"/>
          <w:pgMar w:top="1383" w:right="1797" w:bottom="1440" w:left="1797" w:header="851" w:footer="992" w:gutter="0"/>
          <w:pgNumType w:fmt="numberInDash"/>
          <w:cols w:space="720" w:num="1"/>
          <w:docGrid w:type="lines" w:linePitch="312" w:charSpace="0"/>
        </w:sectPr>
      </w:pPr>
    </w:p>
    <w:tbl>
      <w:tblPr>
        <w:tblStyle w:val="4"/>
        <w:tblW w:w="9012" w:type="dxa"/>
        <w:tblInd w:w="0" w:type="dxa"/>
        <w:shd w:val="clear" w:color="auto" w:fill="auto"/>
        <w:tblLayout w:type="autofit"/>
        <w:tblCellMar>
          <w:top w:w="0" w:type="dxa"/>
          <w:left w:w="0" w:type="dxa"/>
          <w:bottom w:w="0" w:type="dxa"/>
          <w:right w:w="0" w:type="dxa"/>
        </w:tblCellMar>
      </w:tblPr>
      <w:tblGrid>
        <w:gridCol w:w="5351"/>
        <w:gridCol w:w="233"/>
        <w:gridCol w:w="233"/>
        <w:gridCol w:w="3279"/>
        <w:gridCol w:w="790"/>
        <w:gridCol w:w="790"/>
        <w:gridCol w:w="407"/>
        <w:gridCol w:w="598"/>
        <w:gridCol w:w="407"/>
        <w:gridCol w:w="407"/>
        <w:gridCol w:w="1487"/>
      </w:tblGrid>
      <w:tr>
        <w:tblPrEx>
          <w:shd w:val="clear" w:color="auto" w:fill="auto"/>
          <w:tblCellMar>
            <w:top w:w="0" w:type="dxa"/>
            <w:left w:w="0" w:type="dxa"/>
            <w:bottom w:w="0" w:type="dxa"/>
            <w:right w:w="0" w:type="dxa"/>
          </w:tblCellMar>
        </w:tblPrEx>
        <w:trPr>
          <w:trHeight w:val="205" w:hRule="atLeast"/>
        </w:trPr>
        <w:tc>
          <w:tcPr>
            <w:tcW w:w="3132" w:type="dxa"/>
            <w:tcBorders>
              <w:top w:val="nil"/>
              <w:left w:val="nil"/>
              <w:bottom w:val="nil"/>
              <w:right w:val="nil"/>
            </w:tcBorders>
            <w:shd w:val="clear" w:color="auto" w:fill="auto"/>
            <w:noWrap/>
            <w:tcMar>
              <w:top w:w="12" w:type="dxa"/>
              <w:left w:w="12" w:type="dxa"/>
              <w:right w:w="12" w:type="dxa"/>
            </w:tcMar>
            <w:vAlign w:val="center"/>
          </w:tcPr>
          <w:p>
            <w:pPr>
              <w:jc w:val="left"/>
              <w:rPr>
                <w:rFonts w:hint="eastAsia" w:ascii="黑体" w:hAnsi="宋体" w:eastAsia="黑体" w:cs="黑体"/>
                <w:i w:val="0"/>
                <w:color w:val="000000"/>
                <w:sz w:val="24"/>
                <w:szCs w:val="24"/>
                <w:u w:val="none"/>
              </w:rPr>
            </w:pPr>
          </w:p>
        </w:tc>
        <w:tc>
          <w:tcPr>
            <w:tcW w:w="189"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211"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1920"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463"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463"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441"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441"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441"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441"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870"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2" w:hRule="atLeast"/>
        </w:trPr>
        <w:tc>
          <w:tcPr>
            <w:tcW w:w="0" w:type="auto"/>
            <w:gridSpan w:val="11"/>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方正小标宋简体" w:hAnsi="宋体" w:eastAsia="方正小标宋简体" w:cs="宋体"/>
                <w:kern w:val="0"/>
                <w:sz w:val="36"/>
                <w:szCs w:val="36"/>
                <w:lang w:val="en-US" w:eastAsia="zh-CN"/>
              </w:rPr>
              <w:t>表二：收入决算批复表</w:t>
            </w:r>
          </w:p>
        </w:tc>
      </w:tr>
      <w:tr>
        <w:tblPrEx>
          <w:tblCellMar>
            <w:top w:w="0" w:type="dxa"/>
            <w:left w:w="0" w:type="dxa"/>
            <w:bottom w:w="0" w:type="dxa"/>
            <w:right w:w="0" w:type="dxa"/>
          </w:tblCellMar>
        </w:tblPrEx>
        <w:trPr>
          <w:trHeight w:val="402" w:hRule="atLeast"/>
        </w:trPr>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财决批复02表</w:t>
            </w:r>
          </w:p>
        </w:tc>
      </w:tr>
      <w:tr>
        <w:tblPrEx>
          <w:tblCellMar>
            <w:top w:w="0" w:type="dxa"/>
            <w:left w:w="0" w:type="dxa"/>
            <w:bottom w:w="0" w:type="dxa"/>
            <w:right w:w="0" w:type="dxa"/>
          </w:tblCellMar>
        </w:tblPrEx>
        <w:trPr>
          <w:trHeight w:val="402" w:hRule="atLeast"/>
        </w:trPr>
        <w:tc>
          <w:tcPr>
            <w:tcW w:w="0" w:type="auto"/>
            <w:tcBorders>
              <w:top w:val="nil"/>
              <w:left w:val="nil"/>
              <w:bottom w:val="nil"/>
              <w:right w:val="nil"/>
            </w:tcBorders>
            <w:shd w:val="clear" w:color="auto" w:fill="FFFFFF"/>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部门：柳州市残疾人联合会</w:t>
            </w: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CellMar>
            <w:top w:w="0" w:type="dxa"/>
            <w:left w:w="0" w:type="dxa"/>
            <w:bottom w:w="0" w:type="dxa"/>
            <w:right w:w="0" w:type="dxa"/>
          </w:tblCellMar>
        </w:tblPrEx>
        <w:trPr>
          <w:trHeight w:val="802" w:hRule="atLeast"/>
        </w:trPr>
        <w:tc>
          <w:tcPr>
            <w:tcW w:w="353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科目编码</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本年收入合计</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财政拨款收入</w:t>
            </w:r>
          </w:p>
        </w:tc>
        <w:tc>
          <w:tcPr>
            <w:tcW w:w="4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上级补助收入</w:t>
            </w:r>
          </w:p>
        </w:tc>
        <w:tc>
          <w:tcPr>
            <w:tcW w:w="4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事业收入</w:t>
            </w:r>
          </w:p>
        </w:tc>
        <w:tc>
          <w:tcPr>
            <w:tcW w:w="4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经营收入</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附属单位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上缴收入</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其他收入</w:t>
            </w:r>
          </w:p>
        </w:tc>
      </w:tr>
      <w:tr>
        <w:tblPrEx>
          <w:tblCellMar>
            <w:top w:w="0" w:type="dxa"/>
            <w:left w:w="0" w:type="dxa"/>
            <w:bottom w:w="0" w:type="dxa"/>
            <w:right w:w="0" w:type="dxa"/>
          </w:tblCellMar>
        </w:tblPrEx>
        <w:trPr>
          <w:trHeight w:val="31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4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68.70</w:t>
            </w:r>
          </w:p>
        </w:tc>
      </w:tr>
      <w:tr>
        <w:tblPrEx>
          <w:tblCellMar>
            <w:top w:w="0" w:type="dxa"/>
            <w:left w:w="0" w:type="dxa"/>
            <w:bottom w:w="0" w:type="dxa"/>
            <w:right w:w="0" w:type="dxa"/>
          </w:tblCellMar>
        </w:tblPrEx>
        <w:trPr>
          <w:trHeight w:val="4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68.70</w:t>
            </w:r>
          </w:p>
        </w:tc>
      </w:tr>
      <w:tr>
        <w:tblPrEx>
          <w:tblCellMar>
            <w:top w:w="0" w:type="dxa"/>
            <w:left w:w="0" w:type="dxa"/>
            <w:bottom w:w="0" w:type="dxa"/>
            <w:right w:w="0"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68.70</w:t>
            </w:r>
          </w:p>
        </w:tc>
      </w:tr>
      <w:tr>
        <w:tblPrEx>
          <w:tblCellMar>
            <w:top w:w="0" w:type="dxa"/>
            <w:left w:w="0" w:type="dxa"/>
            <w:bottom w:w="0" w:type="dxa"/>
            <w:right w:w="0"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残疾人康复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2,747.56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w:t>
            </w:r>
          </w:p>
        </w:tc>
      </w:tr>
      <w:tr>
        <w:tblPrEx>
          <w:tblCellMar>
            <w:top w:w="0" w:type="dxa"/>
            <w:left w:w="0" w:type="dxa"/>
            <w:bottom w:w="0" w:type="dxa"/>
            <w:right w:w="0"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残疾人就业和扶贫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残疾人体育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1,537.18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68.59</w:t>
            </w:r>
          </w:p>
        </w:tc>
      </w:tr>
      <w:tr>
        <w:tblPrEx>
          <w:tblCellMar>
            <w:top w:w="0" w:type="dxa"/>
            <w:left w:w="0" w:type="dxa"/>
            <w:bottom w:w="0" w:type="dxa"/>
            <w:right w:w="0"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重大公共卫生专项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用于残疾人事业的彩票公益金支出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8" w:hRule="atLeast"/>
        </w:trPr>
        <w:tc>
          <w:tcPr>
            <w:tcW w:w="0" w:type="auto"/>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注：1.本表依据《收入决算表》（财决0</w:t>
            </w:r>
            <w:r>
              <w:rPr>
                <w:rStyle w:val="8"/>
                <w:lang w:val="en-US" w:eastAsia="zh-CN" w:bidi="ar"/>
              </w:rPr>
              <w:t>3表）进行批复。</w:t>
            </w: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26" w:hRule="atLeast"/>
        </w:trPr>
        <w:tc>
          <w:tcPr>
            <w:tcW w:w="0" w:type="auto"/>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8"/>
                <w:lang w:val="en-US" w:eastAsia="zh-CN" w:bidi="ar"/>
              </w:rPr>
              <w:t>2.本表含政府性基金预算财政拨款。</w:t>
            </w: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26" w:hRule="atLeast"/>
        </w:trPr>
        <w:tc>
          <w:tcPr>
            <w:tcW w:w="0" w:type="auto"/>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w:t>
            </w:r>
            <w:r>
              <w:rPr>
                <w:rStyle w:val="8"/>
                <w:lang w:val="en-US" w:eastAsia="zh-CN" w:bidi="ar"/>
              </w:rPr>
              <w:t>.本表批复到项级科目。</w:t>
            </w: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02" w:hRule="atLeast"/>
        </w:trPr>
        <w:tc>
          <w:tcPr>
            <w:tcW w:w="0" w:type="auto"/>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8"/>
                <w:lang w:val="en-US" w:eastAsia="zh-CN" w:bidi="ar"/>
              </w:rPr>
              <w:t>4.本表以“万元”为金额单位（保留两位小数）。</w:t>
            </w: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bl>
    <w:p>
      <w:pPr>
        <w:ind w:left="645"/>
        <w:rPr>
          <w:rFonts w:hint="eastAsia" w:ascii="仿宋_GB2312" w:eastAsia="仿宋_GB2312"/>
          <w:sz w:val="32"/>
          <w:szCs w:val="32"/>
        </w:rPr>
      </w:pPr>
    </w:p>
    <w:p>
      <w:pPr>
        <w:ind w:left="645"/>
        <w:rPr>
          <w:rFonts w:hint="eastAsia" w:ascii="仿宋_GB2312" w:eastAsia="仿宋_GB2312"/>
          <w:sz w:val="32"/>
          <w:szCs w:val="32"/>
        </w:rPr>
      </w:pPr>
    </w:p>
    <w:tbl>
      <w:tblPr>
        <w:tblStyle w:val="4"/>
        <w:tblW w:w="12013" w:type="dxa"/>
        <w:tblInd w:w="0" w:type="dxa"/>
        <w:shd w:val="clear" w:color="auto" w:fill="auto"/>
        <w:tblLayout w:type="autofit"/>
        <w:tblCellMar>
          <w:top w:w="0" w:type="dxa"/>
          <w:left w:w="0" w:type="dxa"/>
          <w:bottom w:w="0" w:type="dxa"/>
          <w:right w:w="0" w:type="dxa"/>
        </w:tblCellMar>
      </w:tblPr>
      <w:tblGrid>
        <w:gridCol w:w="4664"/>
        <w:gridCol w:w="335"/>
        <w:gridCol w:w="335"/>
        <w:gridCol w:w="2860"/>
        <w:gridCol w:w="898"/>
        <w:gridCol w:w="898"/>
        <w:gridCol w:w="898"/>
        <w:gridCol w:w="898"/>
        <w:gridCol w:w="898"/>
        <w:gridCol w:w="1298"/>
      </w:tblGrid>
      <w:tr>
        <w:tblPrEx>
          <w:shd w:val="clear" w:color="auto" w:fill="auto"/>
          <w:tblCellMar>
            <w:top w:w="0" w:type="dxa"/>
            <w:left w:w="0" w:type="dxa"/>
            <w:bottom w:w="0" w:type="dxa"/>
            <w:right w:w="0" w:type="dxa"/>
          </w:tblCellMar>
        </w:tblPrEx>
        <w:trPr>
          <w:trHeight w:val="312" w:hRule="atLeast"/>
        </w:trPr>
        <w:tc>
          <w:tcPr>
            <w:tcW w:w="435" w:type="dxa"/>
            <w:tcBorders>
              <w:top w:val="nil"/>
              <w:left w:val="nil"/>
              <w:bottom w:val="nil"/>
              <w:right w:val="nil"/>
            </w:tcBorders>
            <w:shd w:val="clear" w:color="auto" w:fill="auto"/>
            <w:noWrap/>
            <w:tcMar>
              <w:top w:w="12" w:type="dxa"/>
              <w:left w:w="12" w:type="dxa"/>
              <w:right w:w="12" w:type="dxa"/>
            </w:tcMar>
            <w:vAlign w:val="center"/>
          </w:tcPr>
          <w:p>
            <w:pPr>
              <w:jc w:val="left"/>
              <w:rPr>
                <w:rFonts w:hint="eastAsia" w:ascii="黑体" w:hAnsi="宋体" w:eastAsia="黑体" w:cs="黑体"/>
                <w:i w:val="0"/>
                <w:color w:val="000000"/>
                <w:sz w:val="24"/>
                <w:szCs w:val="24"/>
                <w:u w:val="none"/>
              </w:rPr>
            </w:pPr>
          </w:p>
        </w:tc>
        <w:tc>
          <w:tcPr>
            <w:tcW w:w="435"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435"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3660"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1176"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1176"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1176"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1176"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1176"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1176"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6" w:hRule="atLeast"/>
        </w:trPr>
        <w:tc>
          <w:tcPr>
            <w:tcW w:w="0" w:type="auto"/>
            <w:gridSpan w:val="10"/>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方正小标宋简体" w:hAnsi="宋体" w:eastAsia="方正小标宋简体" w:cs="宋体"/>
                <w:kern w:val="0"/>
                <w:sz w:val="36"/>
                <w:szCs w:val="36"/>
                <w:lang w:val="en-US" w:eastAsia="zh-CN"/>
              </w:rPr>
              <w:t>表三：支出决算批复表</w:t>
            </w:r>
          </w:p>
        </w:tc>
      </w:tr>
      <w:tr>
        <w:tblPrEx>
          <w:tblCellMar>
            <w:top w:w="0" w:type="dxa"/>
            <w:left w:w="0" w:type="dxa"/>
            <w:bottom w:w="0" w:type="dxa"/>
            <w:right w:w="0" w:type="dxa"/>
          </w:tblCellMar>
        </w:tblPrEx>
        <w:trPr>
          <w:trHeight w:val="312" w:hRule="atLeast"/>
        </w:trPr>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财决批复03表</w:t>
            </w:r>
          </w:p>
        </w:tc>
      </w:tr>
      <w:tr>
        <w:tblPrEx>
          <w:tblCellMar>
            <w:top w:w="0" w:type="dxa"/>
            <w:left w:w="0" w:type="dxa"/>
            <w:bottom w:w="0" w:type="dxa"/>
            <w:right w:w="0" w:type="dxa"/>
          </w:tblCellMar>
        </w:tblPrEx>
        <w:trPr>
          <w:trHeight w:val="312" w:hRule="atLeast"/>
        </w:trPr>
        <w:tc>
          <w:tcPr>
            <w:tcW w:w="0" w:type="auto"/>
            <w:tcBorders>
              <w:top w:val="nil"/>
              <w:left w:val="nil"/>
              <w:bottom w:val="nil"/>
              <w:right w:val="nil"/>
            </w:tcBorders>
            <w:shd w:val="clear" w:color="auto" w:fill="FFFFFF"/>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部门：柳州市残疾人联合会</w:t>
            </w: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CellMar>
            <w:top w:w="0" w:type="dxa"/>
            <w:left w:w="0" w:type="dxa"/>
            <w:bottom w:w="0" w:type="dxa"/>
            <w:right w:w="0" w:type="dxa"/>
          </w:tblCellMar>
        </w:tblPrEx>
        <w:trPr>
          <w:trHeight w:val="799" w:hRule="atLeast"/>
        </w:trPr>
        <w:tc>
          <w:tcPr>
            <w:tcW w:w="130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科目编码</w:t>
            </w:r>
          </w:p>
        </w:tc>
        <w:tc>
          <w:tcPr>
            <w:tcW w:w="3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上缴上级支出</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经营支出</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对附属单位补助支出</w:t>
            </w:r>
          </w:p>
        </w:tc>
      </w:tr>
      <w:tr>
        <w:tblPrEx>
          <w:tblCellMar>
            <w:top w:w="0" w:type="dxa"/>
            <w:left w:w="0" w:type="dxa"/>
            <w:bottom w:w="0" w:type="dxa"/>
            <w:right w:w="0"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5712.16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578.78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5133.38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5,558.87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5,492.26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残疾人康复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残疾人就业和扶贫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残疾人体育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重大公共卫生专项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用于残疾人事业的彩票公益金支出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2" w:hRule="atLeast"/>
        </w:trPr>
        <w:tc>
          <w:tcPr>
            <w:tcW w:w="0" w:type="auto"/>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注：1.本表依据《支出决算表》（财决04</w:t>
            </w:r>
            <w:r>
              <w:rPr>
                <w:rStyle w:val="9"/>
                <w:lang w:val="en-US" w:eastAsia="zh-CN" w:bidi="ar"/>
              </w:rPr>
              <w:t>表）进行批复。</w:t>
            </w: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2" w:hRule="atLeast"/>
        </w:trPr>
        <w:tc>
          <w:tcPr>
            <w:tcW w:w="0" w:type="auto"/>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9"/>
                <w:lang w:val="en-US" w:eastAsia="zh-CN" w:bidi="ar"/>
              </w:rPr>
              <w:t>2.本表含政府性基金预算财政拨款。</w:t>
            </w: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2" w:hRule="atLeast"/>
        </w:trPr>
        <w:tc>
          <w:tcPr>
            <w:tcW w:w="0" w:type="auto"/>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w:t>
            </w:r>
            <w:r>
              <w:rPr>
                <w:rStyle w:val="9"/>
                <w:lang w:val="en-US" w:eastAsia="zh-CN" w:bidi="ar"/>
              </w:rPr>
              <w:t>.本表批复到项级科目。</w:t>
            </w: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2" w:hRule="atLeast"/>
        </w:trPr>
        <w:tc>
          <w:tcPr>
            <w:tcW w:w="0" w:type="auto"/>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9"/>
                <w:lang w:val="en-US" w:eastAsia="zh-CN" w:bidi="ar"/>
              </w:rPr>
              <w:t>4.本表以“万元”为金额单位（保留两位小数）。</w:t>
            </w: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r>
    </w:tbl>
    <w:p>
      <w:pPr>
        <w:bidi w:val="0"/>
        <w:rPr>
          <w:rFonts w:hint="eastAsia" w:ascii="仿宋_GB2312" w:eastAsia="仿宋_GB2312"/>
          <w:sz w:val="32"/>
          <w:szCs w:val="32"/>
          <w:lang w:val="en-US" w:eastAsia="zh-CN"/>
        </w:rPr>
      </w:pPr>
    </w:p>
    <w:p>
      <w:pPr>
        <w:bidi w:val="0"/>
        <w:rPr>
          <w:rFonts w:hint="eastAsia" w:ascii="仿宋_GB2312" w:eastAsia="仿宋_GB2312"/>
          <w:sz w:val="32"/>
          <w:szCs w:val="32"/>
          <w:lang w:val="en-US" w:eastAsia="zh-CN"/>
        </w:rPr>
      </w:pPr>
    </w:p>
    <w:p>
      <w:pPr>
        <w:bidi w:val="0"/>
        <w:rPr>
          <w:rFonts w:hint="eastAsia" w:ascii="仿宋_GB2312" w:eastAsia="仿宋_GB2312"/>
          <w:sz w:val="32"/>
          <w:szCs w:val="32"/>
          <w:lang w:val="en-US" w:eastAsia="zh-CN"/>
        </w:rPr>
      </w:pPr>
    </w:p>
    <w:p>
      <w:pPr>
        <w:bidi w:val="0"/>
        <w:rPr>
          <w:rFonts w:hint="eastAsia" w:ascii="仿宋_GB2312" w:eastAsia="仿宋_GB2312"/>
          <w:sz w:val="32"/>
          <w:szCs w:val="32"/>
          <w:lang w:val="en-US" w:eastAsia="zh-CN"/>
        </w:rPr>
      </w:pPr>
    </w:p>
    <w:p>
      <w:pPr>
        <w:bidi w:val="0"/>
        <w:rPr>
          <w:rFonts w:hint="eastAsia" w:ascii="仿宋_GB2312" w:eastAsia="仿宋_GB2312"/>
          <w:sz w:val="32"/>
          <w:szCs w:val="32"/>
          <w:lang w:val="en-US" w:eastAsia="zh-CN"/>
        </w:rPr>
      </w:pPr>
    </w:p>
    <w:p>
      <w:pPr>
        <w:bidi w:val="0"/>
        <w:rPr>
          <w:rFonts w:hint="eastAsia" w:ascii="仿宋_GB2312" w:eastAsia="仿宋_GB2312"/>
          <w:sz w:val="32"/>
          <w:szCs w:val="32"/>
          <w:lang w:val="en-US" w:eastAsia="zh-CN"/>
        </w:rPr>
      </w:pPr>
    </w:p>
    <w:p>
      <w:pPr>
        <w:bidi w:val="0"/>
        <w:rPr>
          <w:rFonts w:hint="eastAsia" w:ascii="仿宋_GB2312" w:eastAsia="仿宋_GB2312"/>
          <w:sz w:val="32"/>
          <w:szCs w:val="32"/>
          <w:lang w:val="en-US" w:eastAsia="zh-CN"/>
        </w:rPr>
      </w:pPr>
    </w:p>
    <w:p>
      <w:pPr>
        <w:bidi w:val="0"/>
        <w:rPr>
          <w:rFonts w:hint="eastAsia" w:ascii="仿宋_GB2312" w:eastAsia="仿宋_GB2312"/>
          <w:sz w:val="32"/>
          <w:szCs w:val="32"/>
          <w:lang w:val="en-US" w:eastAsia="zh-CN"/>
        </w:rPr>
      </w:pPr>
    </w:p>
    <w:p>
      <w:pPr>
        <w:bidi w:val="0"/>
        <w:rPr>
          <w:rFonts w:hint="eastAsia" w:ascii="仿宋_GB2312" w:eastAsia="仿宋_GB2312"/>
          <w:sz w:val="32"/>
          <w:szCs w:val="32"/>
          <w:lang w:val="en-US" w:eastAsia="zh-CN"/>
        </w:rPr>
      </w:pPr>
    </w:p>
    <w:p>
      <w:pPr>
        <w:bidi w:val="0"/>
        <w:rPr>
          <w:rFonts w:hint="eastAsia" w:ascii="仿宋_GB2312" w:eastAsia="仿宋_GB2312"/>
          <w:sz w:val="32"/>
          <w:szCs w:val="32"/>
          <w:lang w:val="en-US" w:eastAsia="zh-CN"/>
        </w:rPr>
      </w:pPr>
    </w:p>
    <w:tbl>
      <w:tblPr>
        <w:tblStyle w:val="4"/>
        <w:tblW w:w="12888" w:type="dxa"/>
        <w:tblInd w:w="0" w:type="dxa"/>
        <w:shd w:val="clear" w:color="auto" w:fill="auto"/>
        <w:tblLayout w:type="autofit"/>
        <w:tblCellMar>
          <w:top w:w="0" w:type="dxa"/>
          <w:left w:w="0" w:type="dxa"/>
          <w:bottom w:w="0" w:type="dxa"/>
          <w:right w:w="0" w:type="dxa"/>
        </w:tblCellMar>
      </w:tblPr>
      <w:tblGrid>
        <w:gridCol w:w="6263"/>
        <w:gridCol w:w="378"/>
        <w:gridCol w:w="918"/>
        <w:gridCol w:w="2780"/>
        <w:gridCol w:w="334"/>
        <w:gridCol w:w="1197"/>
        <w:gridCol w:w="1002"/>
        <w:gridCol w:w="1110"/>
      </w:tblGrid>
      <w:tr>
        <w:tblPrEx>
          <w:shd w:val="clear" w:color="auto" w:fill="auto"/>
          <w:tblCellMar>
            <w:top w:w="0" w:type="dxa"/>
            <w:left w:w="0" w:type="dxa"/>
            <w:bottom w:w="0" w:type="dxa"/>
            <w:right w:w="0" w:type="dxa"/>
          </w:tblCellMar>
        </w:tblPrEx>
        <w:trPr>
          <w:trHeight w:val="312" w:hRule="atLeast"/>
        </w:trPr>
        <w:tc>
          <w:tcPr>
            <w:tcW w:w="3060" w:type="dxa"/>
            <w:tcBorders>
              <w:top w:val="nil"/>
              <w:left w:val="nil"/>
              <w:bottom w:val="nil"/>
              <w:right w:val="nil"/>
            </w:tcBorders>
            <w:shd w:val="clear" w:color="auto" w:fill="auto"/>
            <w:noWrap/>
            <w:tcMar>
              <w:top w:w="12" w:type="dxa"/>
              <w:left w:w="12" w:type="dxa"/>
              <w:right w:w="12" w:type="dxa"/>
            </w:tcMar>
            <w:vAlign w:val="center"/>
          </w:tcPr>
          <w:p>
            <w:pPr>
              <w:jc w:val="left"/>
              <w:rPr>
                <w:rFonts w:hint="eastAsia" w:ascii="黑体" w:hAnsi="宋体" w:eastAsia="黑体" w:cs="黑体"/>
                <w:i w:val="0"/>
                <w:color w:val="000000"/>
                <w:sz w:val="24"/>
                <w:szCs w:val="24"/>
                <w:u w:val="none"/>
              </w:rPr>
            </w:pPr>
          </w:p>
        </w:tc>
        <w:tc>
          <w:tcPr>
            <w:tcW w:w="480"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1176"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3576"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420"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1536"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1284"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1356" w:type="dxa"/>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trPr>
        <w:tc>
          <w:tcPr>
            <w:tcW w:w="0" w:type="auto"/>
            <w:gridSpan w:val="8"/>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方正小标宋简体" w:hAnsi="宋体" w:eastAsia="方正小标宋简体" w:cs="宋体"/>
                <w:kern w:val="0"/>
                <w:sz w:val="36"/>
                <w:szCs w:val="36"/>
                <w:lang w:val="en-US" w:eastAsia="zh-CN"/>
              </w:rPr>
              <w:t>表四：财政拨款收入支出决算总表</w:t>
            </w:r>
          </w:p>
        </w:tc>
      </w:tr>
      <w:tr>
        <w:tblPrEx>
          <w:tblCellMar>
            <w:top w:w="0" w:type="dxa"/>
            <w:left w:w="0" w:type="dxa"/>
            <w:bottom w:w="0" w:type="dxa"/>
            <w:right w:w="0" w:type="dxa"/>
          </w:tblCellMar>
        </w:tblPrEx>
        <w:trPr>
          <w:trHeight w:val="199" w:hRule="atLeast"/>
        </w:trPr>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财决批复04表</w:t>
            </w:r>
          </w:p>
        </w:tc>
      </w:tr>
      <w:tr>
        <w:tblPrEx>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FFFFFF"/>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部门：柳州市残疾人联合会</w:t>
            </w: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60" w:hRule="atLeast"/>
        </w:trPr>
        <w:tc>
          <w:tcPr>
            <w:tcW w:w="0" w:type="auto"/>
            <w:gridSpan w:val="3"/>
            <w:tcBorders>
              <w:top w:val="single" w:color="000000" w:sz="8"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  入</w:t>
            </w:r>
          </w:p>
        </w:tc>
        <w:tc>
          <w:tcPr>
            <w:tcW w:w="0" w:type="auto"/>
            <w:gridSpan w:val="5"/>
            <w:tcBorders>
              <w:top w:val="single" w:color="000000" w:sz="8"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  出</w:t>
            </w:r>
          </w:p>
        </w:tc>
      </w:tr>
      <w:tr>
        <w:tblPrEx>
          <w:tblCellMar>
            <w:top w:w="0" w:type="dxa"/>
            <w:left w:w="0" w:type="dxa"/>
            <w:bottom w:w="0" w:type="dxa"/>
            <w:right w:w="0" w:type="dxa"/>
          </w:tblCellMar>
        </w:tblPrEx>
        <w:trPr>
          <w:trHeight w:val="100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w:t>
            </w:r>
          </w:p>
        </w:tc>
        <w:tc>
          <w:tcPr>
            <w:tcW w:w="1356" w:type="dxa"/>
            <w:tcBorders>
              <w:top w:val="single" w:color="000000" w:sz="4" w:space="0"/>
              <w:left w:val="single" w:color="000000" w:sz="4" w:space="0"/>
              <w:bottom w:val="single" w:color="000000" w:sz="4"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政府性基金预算财政拨款</w:t>
            </w:r>
          </w:p>
        </w:tc>
      </w:tr>
      <w:tr>
        <w:tblPrEx>
          <w:tblCellMar>
            <w:top w:w="0" w:type="dxa"/>
            <w:left w:w="0" w:type="dxa"/>
            <w:bottom w:w="0" w:type="dxa"/>
            <w:right w:w="0" w:type="dxa"/>
          </w:tblCellMar>
        </w:tblPrEx>
        <w:trPr>
          <w:trHeight w:val="289"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5160.46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5330.67</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5330.67</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39.49</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39.49</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二十三、债务还本支出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0" w:type="auto"/>
            <w:tcBorders>
              <w:top w:val="single" w:color="000000" w:sz="4" w:space="0"/>
              <w:left w:val="nil"/>
              <w:bottom w:val="single" w:color="00000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5223.46 </w:t>
            </w: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5483.97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5420.97</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1201.89 </w:t>
            </w: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941.39</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1201.89 </w:t>
            </w: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0" w:type="auto"/>
            <w:tcBorders>
              <w:top w:val="single" w:color="000000" w:sz="4" w:space="0"/>
              <w:left w:val="nil"/>
              <w:bottom w:val="single" w:color="000000" w:sz="4" w:space="0"/>
              <w:right w:val="nil"/>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nil"/>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0" w:type="auto"/>
            <w:tcBorders>
              <w:top w:val="single" w:color="000000" w:sz="4" w:space="0"/>
              <w:left w:val="nil"/>
              <w:bottom w:val="nil"/>
              <w:right w:val="nil"/>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nil"/>
              <w:bottom w:val="nil"/>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8"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8"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6425.36 </w:t>
            </w:r>
          </w:p>
        </w:tc>
        <w:tc>
          <w:tcPr>
            <w:tcW w:w="0" w:type="auto"/>
            <w:tcBorders>
              <w:top w:val="single" w:color="000000" w:sz="4" w:space="0"/>
              <w:left w:val="single" w:color="000000" w:sz="4" w:space="0"/>
              <w:bottom w:val="single" w:color="000000" w:sz="8"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8"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0" w:type="auto"/>
            <w:tcBorders>
              <w:top w:val="single" w:color="000000" w:sz="4" w:space="0"/>
              <w:left w:val="nil"/>
              <w:bottom w:val="single" w:color="000000" w:sz="8"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6425.36</w:t>
            </w:r>
          </w:p>
        </w:tc>
        <w:tc>
          <w:tcPr>
            <w:tcW w:w="0" w:type="auto"/>
            <w:tcBorders>
              <w:top w:val="single" w:color="000000" w:sz="4" w:space="0"/>
              <w:left w:val="single" w:color="000000" w:sz="4" w:space="0"/>
              <w:bottom w:val="single" w:color="000000" w:sz="8"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6362.36</w:t>
            </w:r>
          </w:p>
        </w:tc>
        <w:tc>
          <w:tcPr>
            <w:tcW w:w="0" w:type="auto"/>
            <w:tcBorders>
              <w:top w:val="single" w:color="000000" w:sz="4" w:space="0"/>
              <w:left w:val="nil"/>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63.00 </w:t>
            </w:r>
          </w:p>
        </w:tc>
      </w:tr>
      <w:tr>
        <w:tblPrEx>
          <w:tblCellMar>
            <w:top w:w="0" w:type="dxa"/>
            <w:left w:w="0" w:type="dxa"/>
            <w:bottom w:w="0" w:type="dxa"/>
            <w:right w:w="0" w:type="dxa"/>
          </w:tblCellMar>
        </w:tblPrEx>
        <w:trPr>
          <w:trHeight w:val="360" w:hRule="atLeast"/>
        </w:trPr>
        <w:tc>
          <w:tcPr>
            <w:tcW w:w="0" w:type="auto"/>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注：1.本表依据《财政拨款收入支出决算总表》（财决01-1表）进行批复。</w:t>
            </w: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trPr>
        <w:tc>
          <w:tcPr>
            <w:tcW w:w="0" w:type="auto"/>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2.本表以“万元”为金额单位（保留两位小数）。</w:t>
            </w: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r>
    </w:tbl>
    <w:p>
      <w:pPr>
        <w:bidi w:val="0"/>
        <w:rPr>
          <w:rFonts w:hint="eastAsia" w:ascii="仿宋_GB2312" w:eastAsia="仿宋_GB2312"/>
          <w:sz w:val="32"/>
          <w:szCs w:val="32"/>
          <w:lang w:val="en-US" w:eastAsia="zh-CN"/>
        </w:rPr>
      </w:pPr>
    </w:p>
    <w:p>
      <w:pPr>
        <w:keepNext w:val="0"/>
        <w:keepLines w:val="0"/>
        <w:widowControl/>
        <w:suppressLineNumbers w:val="0"/>
        <w:jc w:val="center"/>
        <w:textAlignment w:val="center"/>
        <w:rPr>
          <w:rFonts w:hint="eastAsia" w:ascii="方正小标宋简体" w:hAnsi="宋体" w:eastAsia="方正小标宋简体" w:cs="宋体"/>
          <w:kern w:val="0"/>
          <w:sz w:val="36"/>
          <w:szCs w:val="36"/>
        </w:rPr>
      </w:pPr>
    </w:p>
    <w:tbl>
      <w:tblPr>
        <w:tblStyle w:val="4"/>
        <w:tblW w:w="11880" w:type="dxa"/>
        <w:tblInd w:w="0" w:type="dxa"/>
        <w:shd w:val="clear" w:color="auto" w:fill="auto"/>
        <w:tblLayout w:type="autofit"/>
        <w:tblCellMar>
          <w:top w:w="0" w:type="dxa"/>
          <w:left w:w="0" w:type="dxa"/>
          <w:bottom w:w="0" w:type="dxa"/>
          <w:right w:w="0" w:type="dxa"/>
        </w:tblCellMar>
      </w:tblPr>
      <w:tblGrid>
        <w:gridCol w:w="3623"/>
        <w:gridCol w:w="174"/>
        <w:gridCol w:w="174"/>
        <w:gridCol w:w="2574"/>
        <w:gridCol w:w="624"/>
        <w:gridCol w:w="324"/>
        <w:gridCol w:w="624"/>
        <w:gridCol w:w="624"/>
        <w:gridCol w:w="474"/>
        <w:gridCol w:w="624"/>
        <w:gridCol w:w="624"/>
        <w:gridCol w:w="474"/>
        <w:gridCol w:w="624"/>
        <w:gridCol w:w="474"/>
        <w:gridCol w:w="399"/>
        <w:gridCol w:w="474"/>
        <w:gridCol w:w="1074"/>
      </w:tblGrid>
      <w:tr>
        <w:tblPrEx>
          <w:shd w:val="clear" w:color="auto" w:fill="auto"/>
          <w:tblCellMar>
            <w:top w:w="0" w:type="dxa"/>
            <w:left w:w="0" w:type="dxa"/>
            <w:bottom w:w="0" w:type="dxa"/>
            <w:right w:w="0" w:type="dxa"/>
          </w:tblCellMar>
        </w:tblPrEx>
        <w:trPr>
          <w:trHeight w:val="312" w:hRule="atLeast"/>
        </w:trPr>
        <w:tc>
          <w:tcPr>
            <w:tcW w:w="11880" w:type="dxa"/>
            <w:gridSpan w:val="17"/>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lang w:val="en-US" w:eastAsia="zh-CN"/>
              </w:rPr>
              <w:t>表五：一般公共预算财政拨款收入支出决算表</w:t>
            </w:r>
          </w:p>
        </w:tc>
      </w:tr>
      <w:tr>
        <w:tblPrEx>
          <w:tblCellMar>
            <w:top w:w="0" w:type="dxa"/>
            <w:left w:w="0" w:type="dxa"/>
            <w:bottom w:w="0" w:type="dxa"/>
            <w:right w:w="0" w:type="dxa"/>
          </w:tblCellMar>
        </w:tblPrEx>
        <w:trPr>
          <w:trHeight w:val="450" w:hRule="atLeast"/>
        </w:trPr>
        <w:tc>
          <w:tcPr>
            <w:tcW w:w="0" w:type="auto"/>
            <w:tcBorders>
              <w:top w:val="nil"/>
              <w:left w:val="nil"/>
              <w:bottom w:val="nil"/>
              <w:right w:val="nil"/>
            </w:tcBorders>
            <w:shd w:val="clear" w:color="auto" w:fill="auto"/>
            <w:noWrap/>
            <w:tcMar>
              <w:top w:w="12" w:type="dxa"/>
              <w:left w:w="12" w:type="dxa"/>
              <w:right w:w="12" w:type="dxa"/>
            </w:tcMar>
            <w:vAlign w:val="bottom"/>
          </w:tcPr>
          <w:p>
            <w:pPr>
              <w:rPr>
                <w:rFonts w:hint="eastAsia"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财决批复05表</w:t>
            </w:r>
          </w:p>
        </w:tc>
      </w:tr>
      <w:tr>
        <w:tblPrEx>
          <w:tblCellMar>
            <w:top w:w="0" w:type="dxa"/>
            <w:left w:w="0" w:type="dxa"/>
            <w:bottom w:w="0" w:type="dxa"/>
            <w:right w:w="0" w:type="dxa"/>
          </w:tblCellMar>
        </w:tblPrEx>
        <w:trPr>
          <w:trHeight w:val="327" w:hRule="atLeast"/>
        </w:trPr>
        <w:tc>
          <w:tcPr>
            <w:tcW w:w="0" w:type="auto"/>
            <w:tcBorders>
              <w:top w:val="nil"/>
              <w:left w:val="nil"/>
              <w:bottom w:val="nil"/>
              <w:right w:val="nil"/>
            </w:tcBorders>
            <w:shd w:val="clear" w:color="auto" w:fill="FFFFFF"/>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部门：柳州市残疾人联合会</w:t>
            </w: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eastAsia="宋体" w:cs="Arial"/>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600" w:hRule="atLeast"/>
        </w:trPr>
        <w:tc>
          <w:tcPr>
            <w:tcW w:w="1356" w:type="dxa"/>
            <w:gridSpan w:val="3"/>
            <w:vMerge w:val="restart"/>
            <w:tcBorders>
              <w:top w:val="single" w:color="000000" w:sz="8"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788"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0" w:type="auto"/>
            <w:gridSpan w:val="3"/>
            <w:tcBorders>
              <w:top w:val="single" w:color="000000" w:sz="8"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2016" w:type="dxa"/>
            <w:gridSpan w:val="3"/>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0" w:type="auto"/>
            <w:gridSpan w:val="3"/>
            <w:tcBorders>
              <w:top w:val="single" w:color="000000" w:sz="8"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0" w:type="auto"/>
            <w:gridSpan w:val="4"/>
            <w:tcBorders>
              <w:top w:val="single" w:color="000000" w:sz="8"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600" w:hRule="atLeast"/>
        </w:trPr>
        <w:tc>
          <w:tcPr>
            <w:tcW w:w="1356" w:type="dxa"/>
            <w:gridSpan w:val="3"/>
            <w:vMerge w:val="continue"/>
            <w:tcBorders>
              <w:top w:val="single" w:color="000000" w:sz="8"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88"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基本支出结转</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项目支出结转和结余</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支出</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支出</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支出</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支出</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基本支出结转</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项目支出结转和结余</w:t>
            </w:r>
          </w:p>
        </w:tc>
      </w:tr>
      <w:tr>
        <w:tblPrEx>
          <w:tblCellMar>
            <w:top w:w="0" w:type="dxa"/>
            <w:left w:w="0" w:type="dxa"/>
            <w:bottom w:w="0" w:type="dxa"/>
            <w:right w:w="0" w:type="dxa"/>
          </w:tblCellMar>
        </w:tblPrEx>
        <w:trPr>
          <w:trHeight w:val="1065" w:hRule="atLeast"/>
        </w:trPr>
        <w:tc>
          <w:tcPr>
            <w:tcW w:w="1356" w:type="dxa"/>
            <w:gridSpan w:val="3"/>
            <w:vMerge w:val="continue"/>
            <w:tcBorders>
              <w:top w:val="single" w:color="000000" w:sz="8"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88"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项目支出结转</w:t>
            </w:r>
          </w:p>
        </w:tc>
        <w:tc>
          <w:tcPr>
            <w:tcW w:w="672"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项目支出结余</w:t>
            </w:r>
          </w:p>
        </w:tc>
      </w:tr>
      <w:tr>
        <w:tblPrEx>
          <w:tblCellMar>
            <w:top w:w="0" w:type="dxa"/>
            <w:left w:w="0" w:type="dxa"/>
            <w:bottom w:w="0" w:type="dxa"/>
            <w:right w:w="0" w:type="dxa"/>
          </w:tblCellMar>
        </w:tblPrEx>
        <w:trPr>
          <w:trHeight w:val="402" w:hRule="atLeast"/>
        </w:trPr>
        <w:tc>
          <w:tcPr>
            <w:tcW w:w="468" w:type="dxa"/>
            <w:vMerge w:val="restart"/>
            <w:tcBorders>
              <w:top w:val="nil"/>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420"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468"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7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480" w:hRule="atLeast"/>
        </w:trPr>
        <w:tc>
          <w:tcPr>
            <w:tcW w:w="468" w:type="dxa"/>
            <w:vMerge w:val="continue"/>
            <w:tcBorders>
              <w:top w:val="nil"/>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0"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68"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1,201.89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1,201.89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5,160.46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605.50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4,554.97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5,420.97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578.78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4,842.19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941.39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914.67</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1,201.89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1,201.89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5,070.17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520.20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4,549.97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5,330.67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493.49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4,837.19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941.39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914.67</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66.61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66.61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66.61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66.61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归口管理的行政单位离退休</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48.67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48.67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48.67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48.67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残疾人事业</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1,201.89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1,201.89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5,003.56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453.60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4,549.97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5,264.07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426.88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4,837.19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941.39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914.67</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260.96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260.96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260.96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260.96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残疾人康复</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2,747.56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85.19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2,662.37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2,778.37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2,696.76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99.19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95.61</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残疾人就业和扶贫</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117.50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117.50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111.86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111.86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5.66</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残疾人体育</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340.37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340.37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263.25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263.25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188.28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188.28</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2081199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其他残疾人事业支出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960.71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960.71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1,537.18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107.45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1,429.73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1,849.63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84.32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1,765.31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648.26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625.13</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45.80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45.80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重大公共卫生专项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45.80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45.80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45.80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45.80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10.37</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27"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0" w:type="auto"/>
            <w:tcBorders>
              <w:top w:val="nil"/>
              <w:left w:val="nil"/>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0" w:type="auto"/>
            <w:tcBorders>
              <w:top w:val="nil"/>
              <w:left w:val="nil"/>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0" w:type="auto"/>
            <w:tcBorders>
              <w:top w:val="nil"/>
              <w:left w:val="nil"/>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0" w:type="auto"/>
            <w:tcBorders>
              <w:top w:val="nil"/>
              <w:left w:val="nil"/>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0" w:type="auto"/>
            <w:tcBorders>
              <w:top w:val="nil"/>
              <w:left w:val="nil"/>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0" w:type="auto"/>
            <w:tcBorders>
              <w:top w:val="nil"/>
              <w:left w:val="nil"/>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02" w:hRule="atLeast"/>
        </w:trPr>
        <w:tc>
          <w:tcPr>
            <w:tcW w:w="0" w:type="auto"/>
            <w:gridSpan w:val="17"/>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注：1.本表依据《一般公共预算财政拨款收入支出决算表》（财决07表）进行批复。</w:t>
            </w:r>
          </w:p>
        </w:tc>
      </w:tr>
      <w:tr>
        <w:tblPrEx>
          <w:tblCellMar>
            <w:top w:w="0" w:type="dxa"/>
            <w:left w:w="0" w:type="dxa"/>
            <w:bottom w:w="0" w:type="dxa"/>
            <w:right w:w="0" w:type="dxa"/>
          </w:tblCellMar>
        </w:tblPrEx>
        <w:trPr>
          <w:trHeight w:val="402" w:hRule="atLeast"/>
        </w:trPr>
        <w:tc>
          <w:tcPr>
            <w:tcW w:w="0" w:type="auto"/>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2.本表批复到项级科目。</w:t>
            </w: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0" w:type="auto"/>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3.本表以“万元”为金额单位（保留两位小数）。</w:t>
            </w: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bl>
    <w:p>
      <w:pPr>
        <w:rPr>
          <w:rFonts w:hint="eastAsia" w:ascii="仿宋_GB2312" w:eastAsia="仿宋_GB2312"/>
          <w:sz w:val="32"/>
          <w:szCs w:val="32"/>
        </w:rPr>
        <w:sectPr>
          <w:type w:val="continuous"/>
          <w:pgSz w:w="16838" w:h="11906" w:orient="landscape"/>
          <w:pgMar w:top="1797" w:right="1440" w:bottom="1797" w:left="1440" w:header="851" w:footer="992" w:gutter="0"/>
          <w:pgNumType w:fmt="numberInDash"/>
          <w:cols w:space="720" w:num="1"/>
          <w:docGrid w:type="lines" w:linePitch="312" w:charSpace="0"/>
        </w:sectPr>
      </w:pPr>
    </w:p>
    <w:p>
      <w:pPr>
        <w:rPr>
          <w:rFonts w:hint="eastAsia" w:ascii="仿宋_GB2312" w:eastAsia="仿宋_GB2312"/>
          <w:sz w:val="32"/>
          <w:szCs w:val="32"/>
        </w:rPr>
      </w:pPr>
    </w:p>
    <w:tbl>
      <w:tblPr>
        <w:tblStyle w:val="4"/>
        <w:tblW w:w="13657" w:type="dxa"/>
        <w:tblInd w:w="0" w:type="dxa"/>
        <w:shd w:val="clear" w:color="auto" w:fill="auto"/>
        <w:tblLayout w:type="autofit"/>
        <w:tblCellMar>
          <w:top w:w="0" w:type="dxa"/>
          <w:left w:w="0" w:type="dxa"/>
          <w:bottom w:w="0" w:type="dxa"/>
          <w:right w:w="0" w:type="dxa"/>
        </w:tblCellMar>
      </w:tblPr>
      <w:tblGrid>
        <w:gridCol w:w="2570"/>
        <w:gridCol w:w="2676"/>
        <w:gridCol w:w="608"/>
        <w:gridCol w:w="466"/>
        <w:gridCol w:w="1792"/>
        <w:gridCol w:w="510"/>
        <w:gridCol w:w="466"/>
        <w:gridCol w:w="3384"/>
        <w:gridCol w:w="1510"/>
      </w:tblGrid>
      <w:tr>
        <w:tblPrEx>
          <w:shd w:val="clear" w:color="auto" w:fill="auto"/>
          <w:tblCellMar>
            <w:top w:w="0" w:type="dxa"/>
            <w:left w:w="0" w:type="dxa"/>
            <w:bottom w:w="0" w:type="dxa"/>
            <w:right w:w="0" w:type="dxa"/>
          </w:tblCellMar>
        </w:tblPrEx>
        <w:trPr>
          <w:trHeight w:val="456" w:hRule="atLeast"/>
        </w:trPr>
        <w:tc>
          <w:tcPr>
            <w:tcW w:w="13665" w:type="dxa"/>
            <w:gridSpan w:val="9"/>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方正小标宋简体" w:hAnsi="宋体" w:eastAsia="方正小标宋简体" w:cs="宋体"/>
                <w:kern w:val="0"/>
                <w:sz w:val="36"/>
                <w:szCs w:val="36"/>
                <w:lang w:val="en-US" w:eastAsia="zh-CN"/>
              </w:rPr>
              <w:t>表六：一般公共预算财政拨款基本支出决算批复表</w:t>
            </w:r>
          </w:p>
        </w:tc>
      </w:tr>
      <w:tr>
        <w:tblPrEx>
          <w:tblCellMar>
            <w:top w:w="0" w:type="dxa"/>
            <w:left w:w="0" w:type="dxa"/>
            <w:bottom w:w="0" w:type="dxa"/>
            <w:right w:w="0" w:type="dxa"/>
          </w:tblCellMar>
        </w:tblPrEx>
        <w:trPr>
          <w:trHeight w:val="405" w:hRule="atLeast"/>
        </w:trPr>
        <w:tc>
          <w:tcPr>
            <w:tcW w:w="732" w:type="dxa"/>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3132" w:type="dxa"/>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52" w:type="dxa"/>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16" w:type="dxa"/>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232" w:type="dxa"/>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795" w:type="dxa"/>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792" w:type="dxa"/>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3264" w:type="dxa"/>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财决批复06表</w:t>
            </w:r>
          </w:p>
        </w:tc>
      </w:tr>
      <w:tr>
        <w:tblPrEx>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FFFFFF"/>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部门：柳州市残疾人联合会</w:t>
            </w: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Arial" w:hAnsi="Arial" w:eastAsia="宋体" w:cs="Arial"/>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default" w:ascii="Arial" w:hAnsi="Arial" w:eastAsia="宋体" w:cs="Arial"/>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default" w:ascii="Arial" w:hAnsi="Arial" w:eastAsia="宋体" w:cs="Arial"/>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default" w:ascii="Arial" w:hAnsi="Arial" w:eastAsia="宋体" w:cs="Arial"/>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default" w:ascii="Arial" w:hAnsi="Arial" w:eastAsia="宋体" w:cs="Arial"/>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default" w:ascii="Arial" w:hAnsi="Arial" w:eastAsia="宋体" w:cs="Arial"/>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default" w:ascii="Arial" w:hAnsi="Arial" w:eastAsia="宋体" w:cs="Arial"/>
                <w:i w:val="0"/>
                <w:color w:val="000000"/>
                <w:sz w:val="24"/>
                <w:szCs w:val="24"/>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CellMar>
            <w:top w:w="0" w:type="dxa"/>
            <w:left w:w="0" w:type="dxa"/>
            <w:bottom w:w="0" w:type="dxa"/>
            <w:right w:w="0" w:type="dxa"/>
          </w:tblCellMar>
        </w:tblPrEx>
        <w:trPr>
          <w:trHeight w:val="495" w:hRule="atLeast"/>
        </w:trPr>
        <w:tc>
          <w:tcPr>
            <w:tcW w:w="732" w:type="dxa"/>
            <w:tcBorders>
              <w:top w:val="single" w:color="000000" w:sz="8"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132"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52"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816"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232"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95"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92"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264"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50" w:type="dxa"/>
            <w:tcBorders>
              <w:top w:val="single" w:color="000000" w:sz="8"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0" w:type="auto"/>
            <w:tcBorders>
              <w:top w:val="nil"/>
              <w:left w:val="nil"/>
              <w:bottom w:val="single" w:color="000000" w:sz="4" w:space="0"/>
              <w:right w:val="single" w:color="000000" w:sz="8"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0" w:type="auto"/>
            <w:gridSpan w:val="2"/>
            <w:tcBorders>
              <w:top w:val="single" w:color="000000" w:sz="4" w:space="0"/>
              <w:left w:val="single" w:color="000000" w:sz="8" w:space="0"/>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513.91</w:t>
            </w:r>
          </w:p>
        </w:tc>
        <w:tc>
          <w:tcPr>
            <w:tcW w:w="0" w:type="auto"/>
            <w:gridSpan w:val="5"/>
            <w:tcBorders>
              <w:top w:val="single" w:color="000000" w:sz="4" w:space="0"/>
              <w:left w:val="single" w:color="000000" w:sz="4" w:space="0"/>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64.87</w:t>
            </w:r>
          </w:p>
        </w:tc>
      </w:tr>
      <w:tr>
        <w:tblPrEx>
          <w:tblCellMar>
            <w:top w:w="0" w:type="dxa"/>
            <w:left w:w="0" w:type="dxa"/>
            <w:bottom w:w="0" w:type="dxa"/>
            <w:right w:w="0" w:type="dxa"/>
          </w:tblCellMar>
        </w:tblPrEx>
        <w:trPr>
          <w:trHeight w:val="390" w:hRule="atLeast"/>
        </w:trPr>
        <w:tc>
          <w:tcPr>
            <w:tcW w:w="0" w:type="auto"/>
            <w:gridSpan w:val="9"/>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注：1.本表依据《一般公共预算财政拨款基本支出决算明细表》（财决08-1表）进行批复。</w:t>
            </w:r>
          </w:p>
        </w:tc>
      </w:tr>
      <w:tr>
        <w:tblPrEx>
          <w:tblCellMar>
            <w:top w:w="0" w:type="dxa"/>
            <w:left w:w="0" w:type="dxa"/>
            <w:bottom w:w="0" w:type="dxa"/>
            <w:right w:w="0" w:type="dxa"/>
          </w:tblCellMar>
        </w:tblPrEx>
        <w:trPr>
          <w:trHeight w:val="390" w:hRule="atLeast"/>
        </w:trPr>
        <w:tc>
          <w:tcPr>
            <w:tcW w:w="0" w:type="auto"/>
            <w:gridSpan w:val="9"/>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2.本表以“万元”为金额单位（保留两位小数）。</w:t>
            </w:r>
          </w:p>
        </w:tc>
      </w:tr>
    </w:tbl>
    <w:p>
      <w:pPr>
        <w:rPr>
          <w:rFonts w:hint="eastAsia" w:ascii="仿宋_GB2312" w:eastAsia="仿宋_GB2312"/>
          <w:sz w:val="32"/>
          <w:szCs w:val="32"/>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rPr>
      </w:pPr>
    </w:p>
    <w:p>
      <w:pPr>
        <w:jc w:val="right"/>
        <w:rPr>
          <w:rFonts w:hint="eastAsia"/>
        </w:rPr>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nil"/>
              <w:right w:val="single" w:color="auto" w:sz="4" w:space="0"/>
            </w:tcBorders>
            <w:vAlign w:val="top"/>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lang w:val="en-US" w:eastAsia="zh-CN"/>
              </w:rPr>
              <w:t>3.02</w:t>
            </w:r>
          </w:p>
        </w:tc>
        <w:tc>
          <w:tcPr>
            <w:tcW w:w="1603" w:type="dxa"/>
            <w:tcBorders>
              <w:top w:val="nil"/>
              <w:left w:val="nil"/>
              <w:bottom w:val="nil"/>
              <w:right w:val="single" w:color="auto" w:sz="4" w:space="0"/>
            </w:tcBorders>
            <w:vAlign w:val="top"/>
          </w:tcPr>
          <w:p>
            <w:pPr>
              <w:widowControl/>
              <w:ind w:firstLine="200" w:firstLineChars="100"/>
              <w:jc w:val="center"/>
              <w:rPr>
                <w:rFonts w:ascii="Arial" w:hAnsi="Arial" w:cs="Arial"/>
                <w:color w:val="000000"/>
                <w:kern w:val="0"/>
                <w:sz w:val="20"/>
                <w:szCs w:val="20"/>
              </w:rPr>
            </w:pPr>
          </w:p>
        </w:tc>
        <w:tc>
          <w:tcPr>
            <w:tcW w:w="828" w:type="dxa"/>
            <w:tcBorders>
              <w:top w:val="nil"/>
              <w:left w:val="nil"/>
              <w:bottom w:val="nil"/>
              <w:right w:val="single" w:color="auto" w:sz="4" w:space="0"/>
            </w:tcBorders>
            <w:vAlign w:val="top"/>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w:t>
            </w:r>
          </w:p>
        </w:tc>
        <w:tc>
          <w:tcPr>
            <w:tcW w:w="1242" w:type="dxa"/>
            <w:tcBorders>
              <w:top w:val="nil"/>
              <w:left w:val="nil"/>
              <w:bottom w:val="nil"/>
              <w:right w:val="single" w:color="auto" w:sz="4" w:space="0"/>
            </w:tcBorders>
            <w:vAlign w:val="top"/>
          </w:tcPr>
          <w:p>
            <w:pPr>
              <w:widowControl/>
              <w:jc w:val="center"/>
              <w:rPr>
                <w:rFonts w:hint="eastAsia" w:ascii="Arial" w:hAnsi="Arial" w:eastAsia="宋体" w:cs="Arial"/>
                <w:color w:val="000000"/>
                <w:kern w:val="0"/>
                <w:sz w:val="20"/>
                <w:szCs w:val="20"/>
                <w:lang w:val="en-US" w:eastAsia="zh-CN"/>
              </w:rPr>
            </w:pPr>
          </w:p>
        </w:tc>
        <w:tc>
          <w:tcPr>
            <w:tcW w:w="1242" w:type="dxa"/>
            <w:tcBorders>
              <w:top w:val="nil"/>
              <w:left w:val="nil"/>
              <w:bottom w:val="nil"/>
              <w:right w:val="single" w:color="auto" w:sz="4" w:space="0"/>
            </w:tcBorders>
            <w:vAlign w:val="top"/>
          </w:tcPr>
          <w:p>
            <w:pPr>
              <w:widowControl/>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w:t>
            </w:r>
          </w:p>
        </w:tc>
        <w:tc>
          <w:tcPr>
            <w:tcW w:w="1216" w:type="dxa"/>
            <w:tcBorders>
              <w:top w:val="nil"/>
              <w:left w:val="nil"/>
              <w:bottom w:val="nil"/>
              <w:right w:val="single" w:color="auto" w:sz="4" w:space="0"/>
            </w:tcBorders>
            <w:vAlign w:val="top"/>
          </w:tcPr>
          <w:p>
            <w:pPr>
              <w:widowControl/>
              <w:ind w:firstLine="200" w:firstLineChars="100"/>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1.02</w:t>
            </w:r>
          </w:p>
        </w:tc>
        <w:tc>
          <w:tcPr>
            <w:tcW w:w="806" w:type="dxa"/>
            <w:tcBorders>
              <w:top w:val="nil"/>
              <w:left w:val="nil"/>
              <w:bottom w:val="nil"/>
              <w:right w:val="single" w:color="auto" w:sz="4" w:space="0"/>
            </w:tcBorders>
            <w:vAlign w:val="top"/>
          </w:tcPr>
          <w:p>
            <w:pPr>
              <w:widowControl/>
              <w:ind w:firstLine="200" w:firstLineChars="100"/>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2.15</w:t>
            </w:r>
          </w:p>
        </w:tc>
        <w:tc>
          <w:tcPr>
            <w:tcW w:w="1560" w:type="dxa"/>
            <w:tcBorders>
              <w:top w:val="nil"/>
              <w:left w:val="nil"/>
              <w:bottom w:val="nil"/>
              <w:right w:val="single" w:color="auto" w:sz="4" w:space="0"/>
            </w:tcBorders>
            <w:vAlign w:val="top"/>
          </w:tcPr>
          <w:p>
            <w:pPr>
              <w:widowControl/>
              <w:ind w:firstLine="200" w:firstLineChars="100"/>
              <w:jc w:val="center"/>
              <w:rPr>
                <w:rFonts w:ascii="Arial" w:hAnsi="Arial" w:cs="Arial"/>
                <w:color w:val="000000"/>
                <w:kern w:val="0"/>
                <w:sz w:val="20"/>
                <w:szCs w:val="20"/>
              </w:rPr>
            </w:pPr>
          </w:p>
        </w:tc>
        <w:tc>
          <w:tcPr>
            <w:tcW w:w="806" w:type="dxa"/>
            <w:tcBorders>
              <w:top w:val="nil"/>
              <w:left w:val="nil"/>
              <w:bottom w:val="nil"/>
              <w:right w:val="single" w:color="auto" w:sz="4" w:space="0"/>
            </w:tcBorders>
            <w:vAlign w:val="top"/>
          </w:tcPr>
          <w:p>
            <w:pPr>
              <w:widowControl/>
              <w:ind w:firstLine="200" w:firstLineChars="100"/>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1.29</w:t>
            </w:r>
          </w:p>
        </w:tc>
        <w:tc>
          <w:tcPr>
            <w:tcW w:w="1398" w:type="dxa"/>
            <w:tcBorders>
              <w:top w:val="nil"/>
              <w:left w:val="nil"/>
              <w:bottom w:val="nil"/>
              <w:right w:val="single" w:color="auto" w:sz="4" w:space="0"/>
            </w:tcBorders>
            <w:vAlign w:val="top"/>
          </w:tcPr>
          <w:p>
            <w:pPr>
              <w:widowControl/>
              <w:ind w:firstLine="400" w:firstLineChars="200"/>
              <w:jc w:val="center"/>
              <w:rPr>
                <w:rFonts w:ascii="Arial" w:hAnsi="Arial" w:cs="Arial"/>
                <w:color w:val="000000"/>
                <w:kern w:val="0"/>
                <w:sz w:val="20"/>
                <w:szCs w:val="20"/>
              </w:rPr>
            </w:pPr>
          </w:p>
        </w:tc>
        <w:tc>
          <w:tcPr>
            <w:tcW w:w="1208" w:type="dxa"/>
            <w:tcBorders>
              <w:top w:val="nil"/>
              <w:left w:val="nil"/>
              <w:bottom w:val="nil"/>
              <w:right w:val="single" w:color="auto" w:sz="4" w:space="0"/>
            </w:tcBorders>
            <w:vAlign w:val="top"/>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1.29</w:t>
            </w:r>
          </w:p>
        </w:tc>
        <w:tc>
          <w:tcPr>
            <w:tcW w:w="1183" w:type="dxa"/>
            <w:tcBorders>
              <w:top w:val="nil"/>
              <w:left w:val="nil"/>
              <w:bottom w:val="nil"/>
              <w:right w:val="single" w:color="auto" w:sz="4" w:space="0"/>
            </w:tcBorders>
            <w:vAlign w:val="top"/>
          </w:tcPr>
          <w:p>
            <w:pPr>
              <w:widowControl/>
              <w:ind w:firstLine="200" w:firstLineChars="100"/>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0.86</w:t>
            </w:r>
          </w:p>
        </w:tc>
      </w:tr>
    </w:tbl>
    <w:p>
      <w:pPr>
        <w:sectPr>
          <w:type w:val="continuous"/>
          <w:pgSz w:w="16838" w:h="11906" w:orient="landscape"/>
          <w:pgMar w:top="1797" w:right="1440" w:bottom="1797" w:left="1440" w:header="851" w:footer="992" w:gutter="0"/>
          <w:pgNumType w:fmt="numberInDash"/>
          <w:cols w:space="720" w:num="1"/>
          <w:docGrid w:type="lines" w:linePitch="312" w:charSpace="0"/>
        </w:sectPr>
      </w:pPr>
      <w:r>
        <w:rPr>
          <w:rFonts w:hint="eastAsia"/>
          <w:lang w:eastAsia="zh-CN"/>
        </w:rPr>
        <w:t>注：本表反映部门本年度“三公”经费支出预决算情况。其中，</w:t>
      </w:r>
      <w:r>
        <w:rPr>
          <w:rFonts w:hint="eastAsia"/>
          <w:lang w:val="en-US" w:eastAsia="zh-CN"/>
        </w:rPr>
        <w:t>2019年度预算数为“三公”经费年初预算数，决算数是包括当年一般公共预算财政拨款和以前年度结转资金安排的实际支出。</w:t>
      </w:r>
    </w:p>
    <w:p>
      <w:pPr>
        <w:bidi w:val="0"/>
        <w:rPr>
          <w:rFonts w:hint="eastAsia"/>
          <w:lang w:val="en-US" w:eastAsia="zh-CN"/>
        </w:rPr>
      </w:pPr>
    </w:p>
    <w:tbl>
      <w:tblPr>
        <w:tblStyle w:val="4"/>
        <w:tblW w:w="12714" w:type="dxa"/>
        <w:tblInd w:w="0" w:type="dxa"/>
        <w:shd w:val="clear" w:color="auto" w:fill="auto"/>
        <w:tblLayout w:type="autofit"/>
        <w:tblCellMar>
          <w:top w:w="0" w:type="dxa"/>
          <w:left w:w="0" w:type="dxa"/>
          <w:bottom w:w="0" w:type="dxa"/>
          <w:right w:w="0" w:type="dxa"/>
        </w:tblCellMar>
      </w:tblPr>
      <w:tblGrid>
        <w:gridCol w:w="4344"/>
        <w:gridCol w:w="204"/>
        <w:gridCol w:w="204"/>
        <w:gridCol w:w="204"/>
        <w:gridCol w:w="1284"/>
        <w:gridCol w:w="384"/>
        <w:gridCol w:w="204"/>
        <w:gridCol w:w="474"/>
        <w:gridCol w:w="384"/>
        <w:gridCol w:w="474"/>
        <w:gridCol w:w="744"/>
        <w:gridCol w:w="204"/>
        <w:gridCol w:w="474"/>
        <w:gridCol w:w="1284"/>
        <w:gridCol w:w="204"/>
        <w:gridCol w:w="360"/>
        <w:gridCol w:w="1284"/>
      </w:tblGrid>
      <w:tr>
        <w:tblPrEx>
          <w:shd w:val="clear" w:color="auto" w:fill="auto"/>
          <w:tblCellMar>
            <w:top w:w="0" w:type="dxa"/>
            <w:left w:w="0" w:type="dxa"/>
            <w:bottom w:w="0" w:type="dxa"/>
            <w:right w:w="0" w:type="dxa"/>
          </w:tblCellMar>
        </w:tblPrEx>
        <w:trPr>
          <w:trHeight w:val="450" w:hRule="atLeast"/>
        </w:trPr>
        <w:tc>
          <w:tcPr>
            <w:tcW w:w="12714" w:type="dxa"/>
            <w:gridSpan w:val="17"/>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18"/>
                <w:szCs w:val="18"/>
                <w:u w:val="none"/>
              </w:rPr>
            </w:pPr>
            <w:r>
              <w:rPr>
                <w:rFonts w:hint="eastAsia" w:ascii="方正小标宋简体" w:hAnsi="宋体" w:eastAsia="方正小标宋简体" w:cs="宋体"/>
                <w:kern w:val="0"/>
                <w:sz w:val="36"/>
                <w:szCs w:val="36"/>
              </w:rPr>
              <w:t>表八：</w:t>
            </w:r>
            <w:r>
              <w:rPr>
                <w:rFonts w:hint="eastAsia" w:ascii="方正小标宋简体" w:hAnsi="宋体" w:eastAsia="方正小标宋简体" w:cs="宋体"/>
                <w:kern w:val="0"/>
                <w:sz w:val="36"/>
                <w:szCs w:val="36"/>
                <w:lang w:val="en-US" w:eastAsia="zh-CN"/>
              </w:rPr>
              <w:t>政府性基金预算财政拨款收入支出决算批复表</w:t>
            </w:r>
          </w:p>
        </w:tc>
      </w:tr>
      <w:tr>
        <w:tblPrEx>
          <w:tblCellMar>
            <w:top w:w="0" w:type="dxa"/>
            <w:left w:w="0" w:type="dxa"/>
            <w:bottom w:w="0" w:type="dxa"/>
            <w:right w:w="0" w:type="dxa"/>
          </w:tblCellMar>
        </w:tblPrEx>
        <w:trPr>
          <w:trHeight w:val="240" w:hRule="atLeast"/>
        </w:trPr>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204" w:type="dxa"/>
            <w:tcBorders>
              <w:top w:val="nil"/>
              <w:left w:val="nil"/>
              <w:bottom w:val="nil"/>
              <w:right w:val="nil"/>
            </w:tcBorders>
            <w:shd w:val="clear" w:color="auto" w:fill="FFFFFF"/>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财决批复</w:t>
            </w:r>
            <w:r>
              <w:rPr>
                <w:rStyle w:val="11"/>
                <w:rFonts w:eastAsia="宋体"/>
                <w:lang w:val="en-US" w:eastAsia="zh-CN" w:bidi="ar"/>
              </w:rPr>
              <w:t>07</w:t>
            </w:r>
            <w:r>
              <w:rPr>
                <w:rStyle w:val="12"/>
                <w:lang w:val="en-US" w:eastAsia="zh-CN" w:bidi="ar"/>
              </w:rPr>
              <w:t>表</w:t>
            </w:r>
          </w:p>
        </w:tc>
      </w:tr>
      <w:tr>
        <w:tblPrEx>
          <w:tblCellMar>
            <w:top w:w="0" w:type="dxa"/>
            <w:left w:w="0" w:type="dxa"/>
            <w:bottom w:w="0" w:type="dxa"/>
            <w:right w:w="0" w:type="dxa"/>
          </w:tblCellMar>
        </w:tblPrEx>
        <w:trPr>
          <w:trHeight w:val="216" w:hRule="atLeast"/>
        </w:trPr>
        <w:tc>
          <w:tcPr>
            <w:tcW w:w="0" w:type="auto"/>
            <w:tcBorders>
              <w:top w:val="nil"/>
              <w:left w:val="nil"/>
              <w:bottom w:val="nil"/>
              <w:right w:val="nil"/>
            </w:tcBorders>
            <w:shd w:val="clear" w:color="auto" w:fill="FFFFFF"/>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部门：柳州市残疾人联合会</w:t>
            </w: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204" w:type="dxa"/>
            <w:tcBorders>
              <w:top w:val="nil"/>
              <w:left w:val="nil"/>
              <w:bottom w:val="nil"/>
              <w:right w:val="nil"/>
            </w:tcBorders>
            <w:shd w:val="clear" w:color="auto" w:fill="FFFFFF"/>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600" w:hRule="atLeast"/>
        </w:trPr>
        <w:tc>
          <w:tcPr>
            <w:tcW w:w="47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both"/>
              <w:rPr>
                <w:rFonts w:hint="eastAsia" w:ascii="宋体" w:hAnsi="宋体" w:eastAsia="宋体" w:cs="宋体"/>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w:t>
            </w: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0" w:hRule="atLeast"/>
        </w:trPr>
        <w:tc>
          <w:tcPr>
            <w:tcW w:w="47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基本支出结转</w:t>
            </w:r>
          </w:p>
        </w:tc>
        <w:tc>
          <w:tcPr>
            <w:tcW w:w="2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项目支出结转和结余</w:t>
            </w:r>
          </w:p>
        </w:tc>
        <w:tc>
          <w:tcPr>
            <w:tcW w:w="4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支出</w:t>
            </w:r>
          </w:p>
        </w:tc>
        <w:tc>
          <w:tcPr>
            <w:tcW w:w="4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支出</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支出</w:t>
            </w:r>
          </w:p>
        </w:tc>
        <w:tc>
          <w:tcPr>
            <w:tcW w:w="4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支出</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基本支出结转</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项目支出结转和结余</w:t>
            </w:r>
          </w:p>
        </w:tc>
      </w:tr>
      <w:tr>
        <w:tblPrEx>
          <w:tblCellMar>
            <w:top w:w="0" w:type="dxa"/>
            <w:left w:w="0" w:type="dxa"/>
            <w:bottom w:w="0" w:type="dxa"/>
            <w:right w:w="0" w:type="dxa"/>
          </w:tblCellMar>
        </w:tblPrEx>
        <w:trPr>
          <w:trHeight w:val="1065" w:hRule="atLeast"/>
        </w:trPr>
        <w:tc>
          <w:tcPr>
            <w:tcW w:w="47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项目支出结转</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项目支出结余</w:t>
            </w:r>
          </w:p>
        </w:tc>
      </w:tr>
      <w:tr>
        <w:tblPrEx>
          <w:tblCellMar>
            <w:top w:w="0" w:type="dxa"/>
            <w:left w:w="0" w:type="dxa"/>
            <w:bottom w:w="0" w:type="dxa"/>
            <w:right w:w="0" w:type="dxa"/>
          </w:tblCellMar>
        </w:tblPrEx>
        <w:trPr>
          <w:trHeight w:val="402" w:hRule="atLeast"/>
        </w:trPr>
        <w:tc>
          <w:tcPr>
            <w:tcW w:w="43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2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2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r>
      <w:tr>
        <w:tblPrEx>
          <w:tblCellMar>
            <w:top w:w="0" w:type="dxa"/>
            <w:left w:w="0" w:type="dxa"/>
            <w:bottom w:w="0" w:type="dxa"/>
            <w:right w:w="0" w:type="dxa"/>
          </w:tblCellMar>
        </w:tblPrEx>
        <w:trPr>
          <w:trHeight w:val="480" w:hRule="atLeast"/>
        </w:trPr>
        <w:tc>
          <w:tcPr>
            <w:tcW w:w="43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480" w:hRule="atLeast"/>
        </w:trPr>
        <w:tc>
          <w:tcPr>
            <w:tcW w:w="47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w:t>
            </w:r>
          </w:p>
        </w:tc>
        <w:tc>
          <w:tcPr>
            <w:tcW w:w="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480" w:hRule="atLeast"/>
        </w:trPr>
        <w:tc>
          <w:tcPr>
            <w:tcW w:w="47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22960</w:t>
            </w:r>
          </w:p>
        </w:tc>
        <w:tc>
          <w:tcPr>
            <w:tcW w:w="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彩票公益金安排的支出</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480" w:hRule="atLeast"/>
        </w:trPr>
        <w:tc>
          <w:tcPr>
            <w:tcW w:w="47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2296006</w:t>
            </w:r>
          </w:p>
        </w:tc>
        <w:tc>
          <w:tcPr>
            <w:tcW w:w="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用于残疾人事业的彩票公益金支出</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402" w:hRule="atLeast"/>
        </w:trPr>
        <w:tc>
          <w:tcPr>
            <w:tcW w:w="0" w:type="auto"/>
            <w:gridSpan w:val="17"/>
            <w:tcBorders>
              <w:top w:val="single" w:color="000000" w:sz="4" w:space="0"/>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注：1.本表依据《政府性基金预算财政拨款收入支出决算表》（财决09表）进行批复。</w:t>
            </w:r>
          </w:p>
        </w:tc>
      </w:tr>
      <w:tr>
        <w:tblPrEx>
          <w:tblCellMar>
            <w:top w:w="0" w:type="dxa"/>
            <w:left w:w="0" w:type="dxa"/>
            <w:bottom w:w="0" w:type="dxa"/>
            <w:right w:w="0" w:type="dxa"/>
          </w:tblCellMar>
        </w:tblPrEx>
        <w:trPr>
          <w:trHeight w:val="402" w:hRule="atLeast"/>
        </w:trPr>
        <w:tc>
          <w:tcPr>
            <w:tcW w:w="0" w:type="auto"/>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2.本表批复到项级科目。</w:t>
            </w: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204"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trPr>
        <w:tc>
          <w:tcPr>
            <w:tcW w:w="0" w:type="auto"/>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3.本表以“万元”为金额单位（保留两位小数）。</w:t>
            </w: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204"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r>
    </w:tbl>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3286"/>
        </w:tabs>
        <w:bidi w:val="0"/>
        <w:rPr>
          <w:rFonts w:hint="eastAsia"/>
          <w:lang w:val="en-US" w:eastAsia="zh-CN"/>
        </w:rPr>
        <w:sectPr>
          <w:pgSz w:w="16838" w:h="11906" w:orient="landscape"/>
          <w:pgMar w:top="1797" w:right="1440" w:bottom="1797" w:left="1440" w:header="851" w:footer="992" w:gutter="0"/>
          <w:pgNumType w:fmt="numberInDash"/>
          <w:cols w:space="720" w:num="1"/>
          <w:docGrid w:type="lines" w:linePitch="312" w:charSpace="0"/>
        </w:sectPr>
      </w:pPr>
    </w:p>
    <w:p>
      <w:pPr>
        <w:tabs>
          <w:tab w:val="left" w:pos="7338"/>
        </w:tabs>
        <w:bidi w:val="0"/>
        <w:jc w:val="left"/>
        <w:rPr>
          <w:rFonts w:hint="eastAsia" w:ascii="仿宋_GB2312" w:eastAsia="仿宋_GB2312"/>
          <w:b/>
          <w:spacing w:val="-20"/>
          <w:sz w:val="32"/>
          <w:szCs w:val="32"/>
        </w:rPr>
      </w:pPr>
      <w:r>
        <w:rPr>
          <w:rFonts w:hint="eastAsia" w:ascii="仿宋_GB2312" w:eastAsia="仿宋_GB2312"/>
          <w:b/>
          <w:spacing w:val="-20"/>
          <w:sz w:val="32"/>
          <w:szCs w:val="32"/>
        </w:rPr>
        <w:t>第三部分：</w:t>
      </w:r>
      <w:r>
        <w:rPr>
          <w:rFonts w:hint="eastAsia" w:ascii="仿宋_GB2312" w:hAnsi="黑体" w:eastAsia="仿宋_GB2312"/>
          <w:b/>
          <w:bCs/>
          <w:color w:val="000000"/>
          <w:spacing w:val="-20"/>
          <w:sz w:val="32"/>
          <w:szCs w:val="32"/>
        </w:rPr>
        <w:t>柳州市残疾人联合会</w:t>
      </w:r>
      <w:r>
        <w:rPr>
          <w:rFonts w:hint="eastAsia" w:ascii="仿宋_GB2312" w:eastAsia="仿宋_GB2312"/>
          <w:b/>
          <w:spacing w:val="-20"/>
          <w:sz w:val="32"/>
          <w:szCs w:val="32"/>
        </w:rPr>
        <w:t>2018年度部门决算情况说明</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hint="eastAsia" w:ascii="仿宋_GB2312" w:eastAsia="仿宋_GB2312" w:cs="仿宋_GB2312"/>
          <w:b w:val="0"/>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年度收入总计</w:t>
      </w:r>
      <w:r>
        <w:rPr>
          <w:rFonts w:hint="eastAsia" w:ascii="仿宋_GB2312" w:eastAsia="仿宋_GB2312" w:cs="仿宋_GB2312"/>
          <w:b w:val="0"/>
          <w:bCs/>
          <w:kern w:val="0"/>
          <w:sz w:val="32"/>
          <w:szCs w:val="32"/>
          <w:lang w:val="en-US" w:eastAsia="zh-CN"/>
        </w:rPr>
        <w:t>7050.54</w:t>
      </w:r>
      <w:r>
        <w:rPr>
          <w:rFonts w:hint="eastAsia" w:ascii="仿宋_GB2312" w:eastAsia="仿宋_GB2312" w:cs="仿宋_GB2312"/>
          <w:b w:val="0"/>
          <w:bCs/>
          <w:kern w:val="0"/>
          <w:sz w:val="32"/>
          <w:szCs w:val="32"/>
        </w:rPr>
        <w:t>万元，支出总计</w:t>
      </w:r>
      <w:r>
        <w:rPr>
          <w:rFonts w:hint="eastAsia" w:ascii="仿宋_GB2312" w:eastAsia="仿宋_GB2312" w:cs="仿宋_GB2312"/>
          <w:b w:val="0"/>
          <w:bCs/>
          <w:kern w:val="0"/>
          <w:sz w:val="32"/>
          <w:szCs w:val="32"/>
          <w:lang w:val="en-US" w:eastAsia="zh-CN"/>
        </w:rPr>
        <w:t>7050.54</w:t>
      </w:r>
      <w:r>
        <w:rPr>
          <w:rFonts w:hint="eastAsia" w:ascii="仿宋_GB2312" w:eastAsia="仿宋_GB2312" w:cs="仿宋_GB2312"/>
          <w:b w:val="0"/>
          <w:bCs/>
          <w:kern w:val="0"/>
          <w:sz w:val="32"/>
          <w:szCs w:val="32"/>
        </w:rPr>
        <w:t>万元，与</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8</w:t>
      </w:r>
      <w:r>
        <w:rPr>
          <w:rFonts w:hint="eastAsia" w:ascii="仿宋_GB2312" w:eastAsia="仿宋_GB2312" w:cs="仿宋_GB2312"/>
          <w:b w:val="0"/>
          <w:bCs/>
          <w:kern w:val="0"/>
          <w:sz w:val="32"/>
          <w:szCs w:val="32"/>
        </w:rPr>
        <w:t>年相比，收、支分别</w:t>
      </w:r>
      <w:r>
        <w:rPr>
          <w:rFonts w:hint="eastAsia" w:ascii="仿宋_GB2312" w:eastAsia="仿宋_GB2312" w:cs="仿宋_GB2312"/>
          <w:b w:val="0"/>
          <w:bCs/>
          <w:kern w:val="0"/>
          <w:sz w:val="32"/>
          <w:szCs w:val="32"/>
          <w:lang w:eastAsia="zh-CN"/>
        </w:rPr>
        <w:t>减少</w:t>
      </w:r>
      <w:r>
        <w:rPr>
          <w:rFonts w:hint="eastAsia" w:ascii="仿宋_GB2312" w:eastAsia="仿宋_GB2312" w:cs="仿宋_GB2312"/>
          <w:b w:val="0"/>
          <w:bCs/>
          <w:kern w:val="0"/>
          <w:sz w:val="32"/>
          <w:szCs w:val="32"/>
          <w:lang w:val="en-US" w:eastAsia="zh-CN"/>
        </w:rPr>
        <w:t>655.16万元</w:t>
      </w:r>
      <w:r>
        <w:rPr>
          <w:rFonts w:hint="eastAsia" w:ascii="仿宋_GB2312" w:eastAsia="仿宋_GB2312" w:cs="仿宋_GB2312"/>
          <w:b w:val="0"/>
          <w:bCs/>
          <w:kern w:val="0"/>
          <w:sz w:val="32"/>
          <w:szCs w:val="32"/>
        </w:rPr>
        <w:t>；分别</w:t>
      </w:r>
      <w:r>
        <w:rPr>
          <w:rFonts w:hint="eastAsia" w:ascii="仿宋_GB2312" w:eastAsia="仿宋_GB2312" w:cs="仿宋_GB2312"/>
          <w:b w:val="0"/>
          <w:bCs/>
          <w:kern w:val="0"/>
          <w:sz w:val="32"/>
          <w:szCs w:val="32"/>
          <w:lang w:eastAsia="zh-CN"/>
        </w:rPr>
        <w:t>减少</w:t>
      </w:r>
      <w:r>
        <w:rPr>
          <w:rFonts w:hint="eastAsia" w:ascii="仿宋_GB2312" w:eastAsia="仿宋_GB2312" w:cs="仿宋_GB2312"/>
          <w:b w:val="0"/>
          <w:bCs/>
          <w:kern w:val="0"/>
          <w:sz w:val="32"/>
          <w:szCs w:val="32"/>
          <w:lang w:val="en-US" w:eastAsia="zh-CN"/>
        </w:rPr>
        <w:t>8.50</w:t>
      </w:r>
      <w:r>
        <w:rPr>
          <w:rFonts w:hint="eastAsia" w:ascii="仿宋_GB2312" w:eastAsia="仿宋_GB2312" w:cs="仿宋_GB2312"/>
          <w:b w:val="0"/>
          <w:bCs/>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二、</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b w:val="0"/>
          <w:bCs/>
          <w:kern w:val="0"/>
          <w:sz w:val="32"/>
          <w:szCs w:val="32"/>
        </w:rPr>
        <w:t>本年收入总计</w:t>
      </w:r>
      <w:r>
        <w:rPr>
          <w:rFonts w:hint="eastAsia" w:ascii="仿宋_GB2312" w:eastAsia="仿宋_GB2312" w:cs="仿宋_GB2312"/>
          <w:b w:val="0"/>
          <w:bCs/>
          <w:kern w:val="0"/>
          <w:sz w:val="32"/>
          <w:szCs w:val="32"/>
          <w:lang w:val="en-US" w:eastAsia="zh-CN"/>
        </w:rPr>
        <w:t>7050.54</w:t>
      </w:r>
      <w:r>
        <w:rPr>
          <w:rFonts w:hint="eastAsia" w:ascii="仿宋_GB2312" w:eastAsia="仿宋_GB2312" w:cs="仿宋_GB2312"/>
          <w:b w:val="0"/>
          <w:bCs/>
          <w:kern w:val="0"/>
          <w:sz w:val="32"/>
          <w:szCs w:val="32"/>
        </w:rPr>
        <w:t>万元 ，其中：</w:t>
      </w:r>
      <w:r>
        <w:rPr>
          <w:rFonts w:hint="eastAsia" w:ascii="仿宋_GB2312" w:eastAsia="仿宋_GB2312" w:cs="仿宋_GB2312"/>
          <w:b w:val="0"/>
          <w:bCs/>
          <w:kern w:val="0"/>
          <w:sz w:val="32"/>
          <w:szCs w:val="32"/>
          <w:lang w:eastAsia="zh-CN"/>
        </w:rPr>
        <w:t>一般公共预算财政拨款</w:t>
      </w:r>
      <w:r>
        <w:rPr>
          <w:rFonts w:hint="eastAsia" w:ascii="仿宋_GB2312" w:eastAsia="仿宋_GB2312" w:cs="仿宋_GB2312"/>
          <w:b w:val="0"/>
          <w:bCs/>
          <w:kern w:val="0"/>
          <w:sz w:val="32"/>
          <w:szCs w:val="32"/>
        </w:rPr>
        <w:t>收入</w:t>
      </w:r>
      <w:r>
        <w:rPr>
          <w:rFonts w:hint="eastAsia" w:ascii="仿宋_GB2312" w:eastAsia="仿宋_GB2312" w:cs="仿宋_GB2312"/>
          <w:b w:val="0"/>
          <w:bCs/>
          <w:kern w:val="0"/>
          <w:sz w:val="32"/>
          <w:szCs w:val="32"/>
          <w:lang w:val="en-US" w:eastAsia="zh-CN"/>
        </w:rPr>
        <w:t>5160.45</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73.2%</w:t>
      </w:r>
      <w:r>
        <w:rPr>
          <w:rFonts w:hint="eastAsia" w:ascii="仿宋_GB2312" w:eastAsia="仿宋_GB2312" w:cs="仿宋_GB2312"/>
          <w:b w:val="0"/>
          <w:bCs/>
          <w:kern w:val="0"/>
          <w:sz w:val="32"/>
          <w:szCs w:val="32"/>
        </w:rPr>
        <w:t> ；</w:t>
      </w:r>
      <w:r>
        <w:rPr>
          <w:rFonts w:hint="eastAsia" w:ascii="仿宋_GB2312" w:eastAsia="仿宋_GB2312" w:cs="仿宋_GB2312"/>
          <w:b w:val="0"/>
          <w:bCs/>
          <w:kern w:val="0"/>
          <w:sz w:val="32"/>
          <w:szCs w:val="32"/>
          <w:lang w:eastAsia="zh-CN"/>
        </w:rPr>
        <w:t>政府基金预算财政拨款收入</w:t>
      </w:r>
      <w:r>
        <w:rPr>
          <w:rFonts w:hint="eastAsia" w:ascii="仿宋_GB2312" w:eastAsia="仿宋_GB2312" w:cs="仿宋_GB2312"/>
          <w:b w:val="0"/>
          <w:bCs/>
          <w:kern w:val="0"/>
          <w:sz w:val="32"/>
          <w:szCs w:val="32"/>
          <w:lang w:val="en-US" w:eastAsia="zh-CN"/>
        </w:rPr>
        <w:t>63万元；占比0.89%；</w:t>
      </w:r>
      <w:r>
        <w:rPr>
          <w:rFonts w:hint="eastAsia" w:ascii="仿宋_GB2312" w:eastAsia="仿宋_GB2312" w:cs="仿宋_GB2312"/>
          <w:b w:val="0"/>
          <w:bCs/>
          <w:kern w:val="0"/>
          <w:sz w:val="32"/>
          <w:szCs w:val="32"/>
        </w:rPr>
        <w:t>事业收入</w:t>
      </w:r>
      <w:r>
        <w:rPr>
          <w:rFonts w:hint="eastAsia" w:ascii="仿宋_GB2312" w:eastAsia="仿宋_GB2312" w:cs="仿宋_GB2312"/>
          <w:b w:val="0"/>
          <w:bCs/>
          <w:kern w:val="0"/>
          <w:sz w:val="32"/>
          <w:szCs w:val="32"/>
          <w:lang w:val="en-US" w:eastAsia="zh-CN"/>
        </w:rPr>
        <w:t>154.86</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2.20%</w:t>
      </w:r>
      <w:r>
        <w:rPr>
          <w:rFonts w:hint="eastAsia" w:ascii="仿宋_GB2312" w:eastAsia="仿宋_GB2312" w:cs="仿宋_GB2312"/>
          <w:b w:val="0"/>
          <w:bCs/>
          <w:kern w:val="0"/>
          <w:sz w:val="32"/>
          <w:szCs w:val="32"/>
        </w:rPr>
        <w:t xml:space="preserve"> ；其他收入</w:t>
      </w:r>
      <w:r>
        <w:rPr>
          <w:rFonts w:hint="eastAsia" w:ascii="仿宋_GB2312" w:eastAsia="仿宋_GB2312" w:cs="仿宋_GB2312"/>
          <w:b w:val="0"/>
          <w:bCs/>
          <w:kern w:val="0"/>
          <w:sz w:val="32"/>
          <w:szCs w:val="32"/>
          <w:lang w:val="en-US" w:eastAsia="zh-CN"/>
        </w:rPr>
        <w:t>68.7</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0.97%；</w:t>
      </w:r>
      <w:r>
        <w:rPr>
          <w:rFonts w:hint="eastAsia" w:ascii="仿宋_GB2312" w:eastAsia="仿宋_GB2312" w:cs="仿宋_GB2312"/>
          <w:kern w:val="0"/>
          <w:sz w:val="32"/>
          <w:szCs w:val="32"/>
        </w:rPr>
        <w:t>上年结转和结余</w:t>
      </w:r>
      <w:r>
        <w:rPr>
          <w:rFonts w:hint="eastAsia" w:ascii="仿宋_GB2312" w:eastAsia="仿宋_GB2312"/>
          <w:kern w:val="0"/>
          <w:sz w:val="32"/>
          <w:szCs w:val="32"/>
          <w:lang w:val="en-US" w:eastAsia="zh-CN"/>
        </w:rPr>
        <w:t>1603.52</w:t>
      </w:r>
      <w:r>
        <w:rPr>
          <w:rFonts w:hint="eastAsia" w:ascii="仿宋_GB2312" w:eastAsia="仿宋_GB2312" w:cs="仿宋_GB2312"/>
          <w:kern w:val="0"/>
          <w:sz w:val="32"/>
          <w:szCs w:val="32"/>
        </w:rPr>
        <w:t>万元，占比</w:t>
      </w:r>
      <w:r>
        <w:rPr>
          <w:rFonts w:hint="eastAsia" w:ascii="仿宋_GB2312" w:eastAsia="仿宋_GB2312" w:cs="仿宋_GB2312"/>
          <w:kern w:val="0"/>
          <w:sz w:val="32"/>
          <w:szCs w:val="32"/>
          <w:lang w:val="en-US" w:eastAsia="zh-CN"/>
        </w:rPr>
        <w:t>22.74</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三、</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支出</w:t>
      </w:r>
      <w:r>
        <w:rPr>
          <w:rFonts w:hint="eastAsia" w:ascii="仿宋_GB2312" w:eastAsia="仿宋_GB2312" w:cs="仿宋_GB2312"/>
          <w:b/>
          <w:kern w:val="0"/>
          <w:sz w:val="32"/>
          <w:szCs w:val="32"/>
        </w:rPr>
        <w:t>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rPr>
        <w:t xml:space="preserve">本年支出合计 </w:t>
      </w:r>
      <w:r>
        <w:rPr>
          <w:rFonts w:hint="eastAsia" w:ascii="仿宋_GB2312" w:eastAsia="仿宋_GB2312" w:cs="仿宋_GB2312"/>
          <w:b w:val="0"/>
          <w:bCs/>
          <w:kern w:val="0"/>
          <w:sz w:val="32"/>
          <w:szCs w:val="32"/>
          <w:lang w:val="en-US" w:eastAsia="zh-CN"/>
        </w:rPr>
        <w:t>7050.54</w:t>
      </w:r>
      <w:r>
        <w:rPr>
          <w:rFonts w:hint="eastAsia" w:ascii="仿宋_GB2312" w:eastAsia="仿宋_GB2312" w:cs="仿宋_GB2312"/>
          <w:b w:val="0"/>
          <w:bCs/>
          <w:kern w:val="0"/>
          <w:sz w:val="32"/>
          <w:szCs w:val="32"/>
        </w:rPr>
        <w:t xml:space="preserve">万元，其中：基本支出 </w:t>
      </w:r>
      <w:r>
        <w:rPr>
          <w:rFonts w:hint="eastAsia" w:ascii="仿宋_GB2312" w:eastAsia="仿宋_GB2312" w:cs="仿宋_GB2312"/>
          <w:b w:val="0"/>
          <w:bCs/>
          <w:kern w:val="0"/>
          <w:sz w:val="32"/>
          <w:szCs w:val="32"/>
          <w:lang w:val="en-US" w:eastAsia="zh-CN"/>
        </w:rPr>
        <w:t>578.78</w:t>
      </w:r>
      <w:r>
        <w:rPr>
          <w:rFonts w:hint="eastAsia" w:ascii="仿宋_GB2312" w:eastAsia="仿宋_GB2312" w:cs="仿宋_GB2312"/>
          <w:b w:val="0"/>
          <w:bCs/>
          <w:kern w:val="0"/>
          <w:sz w:val="32"/>
          <w:szCs w:val="32"/>
        </w:rPr>
        <w:t>万元，占</w:t>
      </w:r>
      <w:r>
        <w:rPr>
          <w:rFonts w:hint="eastAsia" w:ascii="仿宋_GB2312" w:eastAsia="仿宋_GB2312" w:cs="仿宋_GB2312"/>
          <w:b w:val="0"/>
          <w:bCs/>
          <w:kern w:val="0"/>
          <w:sz w:val="32"/>
          <w:szCs w:val="32"/>
          <w:lang w:val="en-US" w:eastAsia="zh-CN"/>
        </w:rPr>
        <w:t>8.21</w:t>
      </w:r>
      <w:r>
        <w:rPr>
          <w:rFonts w:hint="eastAsia" w:ascii="仿宋_GB2312" w:eastAsia="仿宋_GB2312" w:cs="仿宋_GB2312"/>
          <w:b w:val="0"/>
          <w:bCs/>
          <w:kern w:val="0"/>
          <w:sz w:val="32"/>
          <w:szCs w:val="32"/>
        </w:rPr>
        <w:t>%；项目支出5133.38万元， 占</w:t>
      </w:r>
      <w:r>
        <w:rPr>
          <w:rFonts w:hint="eastAsia" w:ascii="仿宋_GB2312" w:eastAsia="仿宋_GB2312" w:cs="仿宋_GB2312"/>
          <w:b w:val="0"/>
          <w:bCs/>
          <w:kern w:val="0"/>
          <w:sz w:val="32"/>
          <w:szCs w:val="32"/>
          <w:lang w:val="en-US" w:eastAsia="zh-CN"/>
        </w:rPr>
        <w:t>72.81</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年</w:t>
      </w:r>
      <w:r>
        <w:rPr>
          <w:rFonts w:hint="eastAsia" w:ascii="仿宋_GB2312" w:eastAsia="仿宋_GB2312" w:cs="仿宋_GB2312"/>
          <w:bCs/>
          <w:kern w:val="0"/>
          <w:sz w:val="32"/>
          <w:szCs w:val="32"/>
        </w:rPr>
        <w:t>末结转和结余1338.38万元，占</w:t>
      </w:r>
      <w:r>
        <w:rPr>
          <w:rFonts w:hint="eastAsia" w:ascii="仿宋_GB2312" w:eastAsia="仿宋_GB2312" w:cs="仿宋_GB2312"/>
          <w:bCs/>
          <w:kern w:val="0"/>
          <w:sz w:val="32"/>
          <w:szCs w:val="32"/>
          <w:lang w:val="en-US" w:eastAsia="zh-CN"/>
        </w:rPr>
        <w:t>19.00</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lang w:eastAsia="zh-CN"/>
        </w:rPr>
      </w:pPr>
      <w:r>
        <w:rPr>
          <w:rFonts w:hint="eastAsia" w:ascii="仿宋_GB2312" w:eastAsia="仿宋_GB2312" w:cs="仿宋_GB2312"/>
          <w:b/>
          <w:bCs w:val="0"/>
          <w:kern w:val="0"/>
          <w:sz w:val="32"/>
          <w:szCs w:val="32"/>
          <w:lang w:eastAsia="zh-CN"/>
        </w:rPr>
        <w:t>四、</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财政拨款收入支出决算情况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本部门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年度财政拨款收、支总决算</w:t>
      </w:r>
      <w:r>
        <w:rPr>
          <w:rFonts w:hint="eastAsia" w:ascii="仿宋_GB2312" w:eastAsia="仿宋_GB2312" w:cs="仿宋_GB2312"/>
          <w:bCs/>
          <w:kern w:val="0"/>
          <w:sz w:val="32"/>
          <w:szCs w:val="32"/>
          <w:lang w:val="en-US" w:eastAsia="zh-CN"/>
        </w:rPr>
        <w:t>6425.36</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6425.36</w:t>
      </w:r>
      <w:r>
        <w:rPr>
          <w:rFonts w:hint="eastAsia" w:ascii="仿宋_GB2312" w:eastAsia="仿宋_GB2312" w:cs="仿宋_GB2312"/>
          <w:bCs/>
          <w:kern w:val="0"/>
          <w:sz w:val="32"/>
          <w:szCs w:val="32"/>
        </w:rPr>
        <w:t xml:space="preserve">万元。与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 xml:space="preserve"> 年相比，财政拨款收、支总计各增加</w:t>
      </w:r>
      <w:r>
        <w:rPr>
          <w:rFonts w:hint="eastAsia" w:ascii="仿宋_GB2312" w:eastAsia="仿宋_GB2312" w:cs="仿宋_GB2312"/>
          <w:bCs/>
          <w:kern w:val="0"/>
          <w:sz w:val="32"/>
          <w:szCs w:val="32"/>
          <w:lang w:val="en-US" w:eastAsia="zh-CN"/>
        </w:rPr>
        <w:t>153.25</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2.44</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hint="eastAsia" w:eastAsia="仿宋_GB2312"/>
          <w:b/>
          <w:kern w:val="0"/>
          <w:sz w:val="32"/>
          <w:szCs w:val="32"/>
        </w:rPr>
      </w:pPr>
      <w:r>
        <w:rPr>
          <w:rFonts w:hint="eastAsia" w:ascii="仿宋_GB2312" w:eastAsia="仿宋_GB2312" w:cs="仿宋_GB2312"/>
          <w:b/>
          <w:bCs w:val="0"/>
          <w:kern w:val="0"/>
          <w:sz w:val="32"/>
          <w:szCs w:val="32"/>
        </w:rPr>
        <w:t>五</w:t>
      </w:r>
      <w:r>
        <w:rPr>
          <w:rFonts w:hint="eastAsia" w:ascii="仿宋_GB2312" w:eastAsia="仿宋_GB2312" w:cs="仿宋_GB2312"/>
          <w:b/>
          <w:bCs w:val="0"/>
          <w:kern w:val="0"/>
          <w:sz w:val="32"/>
          <w:szCs w:val="32"/>
          <w:lang w:eastAsia="zh-CN"/>
        </w:rPr>
        <w:t>、</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eastAsia="仿宋_GB2312"/>
          <w:b/>
          <w:kern w:val="0"/>
          <w:sz w:val="32"/>
          <w:szCs w:val="32"/>
        </w:rPr>
        <w:t>年度一般公共预算财政拨款支出决算情况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highlight w:val="none"/>
        </w:rPr>
        <w:t xml:space="preserve">部门 </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年度财政拨款支出</w:t>
      </w:r>
      <w:r>
        <w:rPr>
          <w:rFonts w:hint="eastAsia" w:ascii="仿宋_GB2312" w:eastAsia="仿宋_GB2312" w:cs="仿宋_GB2312"/>
          <w:bCs/>
          <w:kern w:val="0"/>
          <w:sz w:val="32"/>
          <w:szCs w:val="32"/>
          <w:highlight w:val="none"/>
          <w:lang w:val="en-US" w:eastAsia="zh-CN"/>
        </w:rPr>
        <w:t>5420.97</w:t>
      </w:r>
      <w:r>
        <w:rPr>
          <w:rFonts w:hint="eastAsia" w:ascii="仿宋_GB2312" w:eastAsia="仿宋_GB2312" w:cs="仿宋_GB2312"/>
          <w:bCs/>
          <w:kern w:val="0"/>
          <w:sz w:val="32"/>
          <w:szCs w:val="32"/>
          <w:highlight w:val="none"/>
        </w:rPr>
        <w:t xml:space="preserve">万元，占本年支出合计的 </w:t>
      </w:r>
      <w:r>
        <w:rPr>
          <w:rFonts w:hint="eastAsia" w:ascii="仿宋_GB2312" w:eastAsia="仿宋_GB2312" w:cs="仿宋_GB2312"/>
          <w:bCs/>
          <w:kern w:val="0"/>
          <w:sz w:val="32"/>
          <w:szCs w:val="32"/>
          <w:highlight w:val="none"/>
          <w:lang w:val="en-US" w:eastAsia="zh-CN"/>
        </w:rPr>
        <w:t>94.9</w:t>
      </w:r>
      <w:r>
        <w:rPr>
          <w:rFonts w:hint="eastAsia" w:ascii="仿宋_GB2312" w:eastAsia="仿宋_GB2312" w:cs="仿宋_GB2312"/>
          <w:bCs/>
          <w:kern w:val="0"/>
          <w:sz w:val="32"/>
          <w:szCs w:val="32"/>
          <w:highlight w:val="none"/>
        </w:rPr>
        <w:t xml:space="preserve">%。与 </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8</w:t>
      </w:r>
      <w:r>
        <w:rPr>
          <w:rFonts w:hint="eastAsia" w:ascii="仿宋_GB2312" w:eastAsia="仿宋_GB2312" w:cs="仿宋_GB2312"/>
          <w:bCs/>
          <w:kern w:val="0"/>
          <w:sz w:val="32"/>
          <w:szCs w:val="32"/>
          <w:highlight w:val="none"/>
        </w:rPr>
        <w:t xml:space="preserve"> 年相比，财政拨款支出</w:t>
      </w:r>
      <w:r>
        <w:rPr>
          <w:rFonts w:hint="eastAsia" w:ascii="仿宋_GB2312" w:eastAsia="仿宋_GB2312" w:cs="仿宋_GB2312"/>
          <w:bCs/>
          <w:kern w:val="0"/>
          <w:sz w:val="32"/>
          <w:szCs w:val="32"/>
          <w:highlight w:val="none"/>
          <w:lang w:eastAsia="zh-CN"/>
        </w:rPr>
        <w:t>增加</w:t>
      </w:r>
      <w:r>
        <w:rPr>
          <w:rFonts w:hint="eastAsia" w:ascii="仿宋_GB2312" w:eastAsia="仿宋_GB2312" w:cs="仿宋_GB2312"/>
          <w:bCs/>
          <w:kern w:val="0"/>
          <w:sz w:val="32"/>
          <w:szCs w:val="32"/>
          <w:highlight w:val="none"/>
          <w:lang w:val="en-US" w:eastAsia="zh-CN"/>
        </w:rPr>
        <w:t>1080.94</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24.91</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（二）财政拨款支出决算结构情况（根据公开表格作表述）</w:t>
      </w:r>
    </w:p>
    <w:p>
      <w:pPr>
        <w:autoSpaceDE w:val="0"/>
        <w:autoSpaceDN w:val="0"/>
        <w:adjustRightInd w:val="0"/>
        <w:spacing w:line="56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年度财政拨款支出</w:t>
      </w:r>
      <w:r>
        <w:rPr>
          <w:rFonts w:hint="eastAsia" w:ascii="仿宋_GB2312" w:eastAsia="仿宋_GB2312" w:cs="仿宋_GB2312"/>
          <w:bCs/>
          <w:kern w:val="0"/>
          <w:sz w:val="32"/>
          <w:szCs w:val="32"/>
          <w:lang w:val="en-US" w:eastAsia="zh-CN"/>
        </w:rPr>
        <w:t>5420.97</w:t>
      </w:r>
      <w:r>
        <w:rPr>
          <w:rFonts w:hint="eastAsia" w:ascii="仿宋_GB2312" w:eastAsia="仿宋_GB2312" w:cs="仿宋_GB2312"/>
          <w:bCs/>
          <w:kern w:val="0"/>
          <w:sz w:val="32"/>
          <w:szCs w:val="32"/>
        </w:rPr>
        <w:t>万元，主要用于以下方面：社会保障和就业（类）支出</w:t>
      </w:r>
      <w:r>
        <w:rPr>
          <w:rFonts w:hint="eastAsia" w:ascii="仿宋_GB2312" w:eastAsia="仿宋_GB2312" w:cs="仿宋_GB2312"/>
          <w:bCs/>
          <w:kern w:val="0"/>
          <w:sz w:val="32"/>
          <w:szCs w:val="32"/>
          <w:lang w:val="en-US" w:eastAsia="zh-CN"/>
        </w:rPr>
        <w:t>5330.67</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98.33</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lang w:val="en-US" w:eastAsia="zh-CN"/>
        </w:rPr>
        <w:t>50.8</w:t>
      </w:r>
      <w:r>
        <w:rPr>
          <w:rFonts w:hint="eastAsia" w:ascii="仿宋_GB2312" w:eastAsia="仿宋_GB2312" w:cs="仿宋_GB2312"/>
          <w:bCs/>
          <w:kern w:val="0"/>
          <w:sz w:val="32"/>
          <w:szCs w:val="32"/>
        </w:rPr>
        <w:t>万元，占0.</w:t>
      </w:r>
      <w:r>
        <w:rPr>
          <w:rFonts w:hint="eastAsia" w:ascii="仿宋_GB2312" w:eastAsia="仿宋_GB2312" w:cs="仿宋_GB2312"/>
          <w:bCs/>
          <w:kern w:val="0"/>
          <w:sz w:val="32"/>
          <w:szCs w:val="32"/>
          <w:lang w:val="en-US" w:eastAsia="zh-CN"/>
        </w:rPr>
        <w:t>94</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39.49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0.73</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年度财政拨款支出年初预算为</w:t>
      </w:r>
      <w:r>
        <w:rPr>
          <w:rFonts w:hint="eastAsia" w:ascii="仿宋_GB2312" w:eastAsia="仿宋_GB2312" w:cs="仿宋_GB2312"/>
          <w:bCs/>
          <w:kern w:val="0"/>
          <w:sz w:val="32"/>
          <w:szCs w:val="32"/>
          <w:lang w:val="en-US" w:eastAsia="zh-CN"/>
        </w:rPr>
        <w:t>4857.95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5420.97</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111.59</w:t>
      </w:r>
      <w:r>
        <w:rPr>
          <w:rFonts w:hint="eastAsia" w:ascii="仿宋_GB2312" w:eastAsia="仿宋_GB2312" w:cs="仿宋_GB2312"/>
          <w:bCs/>
          <w:kern w:val="0"/>
          <w:sz w:val="32"/>
          <w:szCs w:val="32"/>
        </w:rPr>
        <w:t>%。决算数大于预算数的主要原因：一是年中追加安排财政拨款支出预算，涉及项目有残疾人康复专项补助经费</w:t>
      </w:r>
      <w:r>
        <w:rPr>
          <w:rFonts w:hint="eastAsia" w:ascii="仿宋_GB2312" w:eastAsia="仿宋_GB2312" w:cs="仿宋_GB2312"/>
          <w:bCs/>
          <w:kern w:val="0"/>
          <w:sz w:val="32"/>
          <w:szCs w:val="32"/>
          <w:lang w:eastAsia="zh-CN"/>
        </w:rPr>
        <w:t>、自治区</w:t>
      </w:r>
      <w:r>
        <w:rPr>
          <w:rFonts w:hint="eastAsia" w:ascii="仿宋_GB2312" w:eastAsia="仿宋_GB2312" w:cs="仿宋_GB2312"/>
          <w:bCs/>
          <w:kern w:val="0"/>
          <w:sz w:val="32"/>
          <w:szCs w:val="32"/>
        </w:rPr>
        <w:t xml:space="preserve">残疾人体育补助经费；二是部分支出按规定，通过使用以前年度财政拨款结转资金解决。其中：（根据公开表格作表述，有则表述）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1.社会保障和就业支出（类）残疾人事业（款）残疾人康复（项）年初预算为</w:t>
      </w:r>
      <w:r>
        <w:rPr>
          <w:rFonts w:hint="eastAsia" w:ascii="仿宋_GB2312" w:eastAsia="仿宋_GB2312" w:cs="仿宋_GB2312"/>
          <w:bCs/>
          <w:kern w:val="0"/>
          <w:sz w:val="32"/>
          <w:szCs w:val="32"/>
          <w:lang w:val="en-US" w:eastAsia="zh-CN"/>
        </w:rPr>
        <w:t>2710.34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2778.37</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102.51</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w:t>
      </w:r>
      <w:r>
        <w:rPr>
          <w:rFonts w:hint="eastAsia" w:ascii="仿宋_GB2312" w:eastAsia="仿宋_GB2312" w:cs="仿宋_GB2312"/>
          <w:bCs/>
          <w:kern w:val="0"/>
          <w:sz w:val="32"/>
          <w:szCs w:val="32"/>
          <w:lang w:eastAsia="zh-CN"/>
        </w:rPr>
        <w:t>为</w:t>
      </w:r>
      <w:r>
        <w:rPr>
          <w:rFonts w:hint="eastAsia" w:ascii="仿宋_GB2312" w:eastAsia="仿宋_GB2312" w:cs="仿宋_GB2312"/>
          <w:bCs/>
          <w:kern w:val="0"/>
          <w:sz w:val="32"/>
          <w:szCs w:val="32"/>
        </w:rPr>
        <w:t>年中自治区下达残疾人康复专项补助经费</w:t>
      </w:r>
      <w:r>
        <w:rPr>
          <w:rFonts w:hint="eastAsia" w:ascii="仿宋_GB2312" w:eastAsia="仿宋_GB2312" w:cs="仿宋_GB2312"/>
          <w:bCs/>
          <w:kern w:val="0"/>
          <w:sz w:val="32"/>
          <w:szCs w:val="32"/>
          <w:lang w:val="en-US" w:eastAsia="zh-CN"/>
        </w:rPr>
        <w:t>17.5</w:t>
      </w:r>
      <w:r>
        <w:rPr>
          <w:rFonts w:hint="eastAsia" w:ascii="仿宋_GB2312" w:eastAsia="仿宋_GB2312" w:cs="仿宋_GB2312"/>
          <w:bCs/>
          <w:kern w:val="0"/>
          <w:sz w:val="32"/>
          <w:szCs w:val="32"/>
        </w:rPr>
        <w:t>万</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2.社会保障和就业支出（类）残疾人事业（款）残疾人体育（项）年初预算为</w:t>
      </w:r>
      <w:r>
        <w:rPr>
          <w:rFonts w:hint="eastAsia" w:ascii="仿宋_GB2312" w:eastAsia="仿宋_GB2312" w:cs="仿宋_GB2312"/>
          <w:bCs/>
          <w:kern w:val="0"/>
          <w:sz w:val="32"/>
          <w:szCs w:val="32"/>
          <w:lang w:val="en-US" w:eastAsia="zh-CN"/>
        </w:rPr>
        <w:t>59.96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263.25</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，完成年初预算数的</w:t>
      </w:r>
      <w:r>
        <w:rPr>
          <w:rFonts w:hint="eastAsia" w:ascii="仿宋_GB2312" w:eastAsia="仿宋_GB2312" w:cs="仿宋_GB2312"/>
          <w:bCs/>
          <w:kern w:val="0"/>
          <w:sz w:val="32"/>
          <w:szCs w:val="32"/>
          <w:lang w:val="en-US" w:eastAsia="zh-CN"/>
        </w:rPr>
        <w:t>439.04%</w:t>
      </w:r>
      <w:r>
        <w:rPr>
          <w:rFonts w:hint="eastAsia" w:ascii="仿宋_GB2312" w:eastAsia="仿宋_GB2312" w:cs="仿宋_GB2312"/>
          <w:bCs/>
          <w:kern w:val="0"/>
          <w:sz w:val="32"/>
          <w:szCs w:val="32"/>
        </w:rPr>
        <w:t>。决算数大于预算数的主要原因有：</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是年中自治区下达残疾人体育专项经费</w:t>
      </w:r>
      <w:r>
        <w:rPr>
          <w:rFonts w:hint="eastAsia" w:ascii="仿宋_GB2312" w:eastAsia="仿宋_GB2312" w:cs="仿宋_GB2312"/>
          <w:bCs/>
          <w:kern w:val="0"/>
          <w:sz w:val="32"/>
          <w:szCs w:val="32"/>
          <w:lang w:val="en-US" w:eastAsia="zh-CN"/>
        </w:rPr>
        <w:t>272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；二</w:t>
      </w:r>
      <w:r>
        <w:rPr>
          <w:rFonts w:hint="eastAsia" w:ascii="仿宋_GB2312" w:eastAsia="仿宋_GB2312" w:cs="仿宋_GB2312"/>
          <w:bCs/>
          <w:kern w:val="0"/>
          <w:sz w:val="32"/>
          <w:szCs w:val="32"/>
        </w:rPr>
        <w:t>是年中自治区下达残疾人体育专项</w:t>
      </w:r>
      <w:r>
        <w:rPr>
          <w:rFonts w:hint="eastAsia" w:ascii="仿宋_GB2312" w:eastAsia="仿宋_GB2312" w:cs="仿宋_GB2312"/>
          <w:bCs/>
          <w:kern w:val="0"/>
          <w:sz w:val="32"/>
          <w:szCs w:val="32"/>
          <w:lang w:eastAsia="zh-CN"/>
        </w:rPr>
        <w:t>补助</w:t>
      </w:r>
      <w:r>
        <w:rPr>
          <w:rFonts w:hint="eastAsia" w:ascii="仿宋_GB2312" w:eastAsia="仿宋_GB2312" w:cs="仿宋_GB2312"/>
          <w:bCs/>
          <w:kern w:val="0"/>
          <w:sz w:val="32"/>
          <w:szCs w:val="32"/>
        </w:rPr>
        <w:t>经费</w:t>
      </w:r>
      <w:r>
        <w:rPr>
          <w:rFonts w:hint="eastAsia" w:ascii="仿宋_GB2312" w:eastAsia="仿宋_GB2312" w:cs="仿宋_GB2312"/>
          <w:bCs/>
          <w:kern w:val="0"/>
          <w:sz w:val="32"/>
          <w:szCs w:val="32"/>
          <w:lang w:eastAsia="zh-CN"/>
        </w:rPr>
        <w:t>（奖励金）</w:t>
      </w:r>
      <w:r>
        <w:rPr>
          <w:rFonts w:hint="eastAsia" w:ascii="仿宋_GB2312" w:eastAsia="仿宋_GB2312" w:cs="仿宋_GB2312"/>
          <w:bCs/>
          <w:kern w:val="0"/>
          <w:sz w:val="32"/>
          <w:szCs w:val="32"/>
          <w:lang w:val="en-US" w:eastAsia="zh-CN"/>
        </w:rPr>
        <w:t>18.41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rPr>
        <w:t>3.社会保障和就业支出（类）残疾人事业（款）其他残疾人事业支出（项）年初预算为</w:t>
      </w:r>
      <w:r>
        <w:rPr>
          <w:rFonts w:hint="eastAsia" w:ascii="仿宋_GB2312" w:eastAsia="仿宋_GB2312" w:cs="仿宋_GB2312"/>
          <w:bCs/>
          <w:kern w:val="0"/>
          <w:sz w:val="32"/>
          <w:szCs w:val="32"/>
          <w:lang w:val="en-US" w:eastAsia="zh-CN"/>
        </w:rPr>
        <w:t>1627.92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1849.63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113.62</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w:t>
      </w:r>
      <w:r>
        <w:rPr>
          <w:rFonts w:hint="eastAsia" w:ascii="仿宋_GB2312" w:eastAsia="仿宋_GB2312" w:cs="仿宋_GB2312"/>
          <w:bCs/>
          <w:kern w:val="0"/>
          <w:sz w:val="32"/>
          <w:szCs w:val="32"/>
        </w:rPr>
        <w:t>于预算数的主要原因有：</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是年中自治区下达</w:t>
      </w:r>
      <w:r>
        <w:rPr>
          <w:rFonts w:hint="eastAsia" w:ascii="仿宋_GB2312" w:eastAsia="仿宋_GB2312" w:cs="仿宋_GB2312"/>
          <w:bCs/>
          <w:kern w:val="0"/>
          <w:sz w:val="32"/>
          <w:szCs w:val="32"/>
          <w:lang w:val="en-US" w:eastAsia="zh-CN"/>
        </w:rPr>
        <w:t>8.5</w:t>
      </w:r>
      <w:r>
        <w:rPr>
          <w:rFonts w:hint="eastAsia" w:ascii="仿宋_GB2312" w:eastAsia="仿宋_GB2312" w:cs="仿宋_GB2312"/>
          <w:bCs/>
          <w:kern w:val="0"/>
          <w:sz w:val="32"/>
          <w:szCs w:val="32"/>
        </w:rPr>
        <w:t>万元残疾人专职委员岗位补贴</w:t>
      </w:r>
      <w:r>
        <w:rPr>
          <w:rFonts w:hint="eastAsia" w:ascii="仿宋_GB2312" w:eastAsia="仿宋_GB2312" w:cs="仿宋_GB2312"/>
          <w:bCs/>
          <w:kern w:val="0"/>
          <w:sz w:val="32"/>
          <w:szCs w:val="32"/>
          <w:lang w:eastAsia="zh-CN"/>
        </w:rPr>
        <w:t>；二是年底市本级财政下达</w:t>
      </w:r>
      <w:r>
        <w:rPr>
          <w:rFonts w:hint="eastAsia" w:ascii="仿宋_GB2312" w:eastAsia="仿宋_GB2312" w:cs="仿宋_GB2312"/>
          <w:bCs/>
          <w:kern w:val="0"/>
          <w:sz w:val="32"/>
          <w:szCs w:val="32"/>
          <w:lang w:val="en-US" w:eastAsia="zh-CN"/>
        </w:rPr>
        <w:t>5万元</w:t>
      </w:r>
      <w:r>
        <w:rPr>
          <w:rFonts w:hint="eastAsia" w:ascii="仿宋_GB2312" w:eastAsia="仿宋_GB2312" w:cs="仿宋_GB2312"/>
          <w:bCs/>
          <w:kern w:val="0"/>
          <w:sz w:val="32"/>
          <w:szCs w:val="32"/>
          <w:lang w:eastAsia="zh-CN"/>
        </w:rPr>
        <w:t>2019年中央重大公共卫生服务补助资金；三是年中自治区下达</w:t>
      </w:r>
      <w:r>
        <w:rPr>
          <w:rFonts w:hint="eastAsia" w:ascii="仿宋_GB2312" w:eastAsia="仿宋_GB2312" w:cs="仿宋_GB2312"/>
          <w:bCs/>
          <w:kern w:val="0"/>
          <w:sz w:val="32"/>
          <w:szCs w:val="32"/>
          <w:lang w:val="en-US" w:eastAsia="zh-CN"/>
        </w:rPr>
        <w:t>22.7万元</w:t>
      </w:r>
      <w:r>
        <w:rPr>
          <w:rFonts w:hint="eastAsia" w:ascii="仿宋_GB2312" w:eastAsia="仿宋_GB2312" w:cs="仿宋_GB2312"/>
          <w:bCs/>
          <w:kern w:val="0"/>
          <w:sz w:val="32"/>
          <w:szCs w:val="32"/>
          <w:lang w:eastAsia="zh-CN"/>
        </w:rPr>
        <w:t>残疾人教育专项补助和</w:t>
      </w:r>
      <w:r>
        <w:rPr>
          <w:rFonts w:hint="eastAsia" w:ascii="仿宋_GB2312" w:eastAsia="仿宋_GB2312" w:cs="仿宋_GB2312"/>
          <w:bCs/>
          <w:kern w:val="0"/>
          <w:sz w:val="32"/>
          <w:szCs w:val="32"/>
          <w:lang w:val="en-US" w:eastAsia="zh-CN"/>
        </w:rPr>
        <w:t>0.2万元党员扶残温暖同行项目资金；四是动用历年结余资金376.18万元，用于残疾人康复托养装修工程（370.06万元）和自闭症综合楼结算审核费用（5.57万元）等项目开支。</w:t>
      </w:r>
    </w:p>
    <w:p>
      <w:pPr>
        <w:autoSpaceDE w:val="0"/>
        <w:autoSpaceDN w:val="0"/>
        <w:adjustRightInd w:val="0"/>
        <w:spacing w:line="560" w:lineRule="exact"/>
        <w:ind w:firstLine="640"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Cs/>
          <w:kern w:val="0"/>
          <w:sz w:val="32"/>
          <w:szCs w:val="32"/>
        </w:rPr>
        <w:t>六、</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年度一般公共预算财政拨款基本支出决算情况（根据实际情况作表述 </w:t>
      </w:r>
      <w:r>
        <w:rPr>
          <w:rFonts w:hint="eastAsia" w:ascii="仿宋_GB2312" w:eastAsia="仿宋_GB2312" w:cs="仿宋_GB2312"/>
          <w:b/>
          <w:bCs w:val="0"/>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年度财政拨款基本支出</w:t>
      </w:r>
      <w:r>
        <w:rPr>
          <w:rFonts w:hint="eastAsia" w:ascii="仿宋_GB2312" w:eastAsia="仿宋_GB2312" w:cs="仿宋_GB2312"/>
          <w:b w:val="0"/>
          <w:bCs/>
          <w:kern w:val="0"/>
          <w:sz w:val="32"/>
          <w:szCs w:val="32"/>
          <w:lang w:val="en-US" w:eastAsia="zh-CN"/>
        </w:rPr>
        <w:t>578.78</w:t>
      </w:r>
      <w:r>
        <w:rPr>
          <w:rFonts w:hint="eastAsia" w:ascii="仿宋_GB2312" w:eastAsia="仿宋_GB2312" w:cs="仿宋_GB2312"/>
          <w:b w:val="0"/>
          <w:bCs/>
          <w:kern w:val="0"/>
          <w:sz w:val="32"/>
          <w:szCs w:val="32"/>
        </w:rPr>
        <w:t>万元，其中：</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 xml:space="preserve"> 人员经费</w:t>
      </w:r>
      <w:r>
        <w:rPr>
          <w:rFonts w:hint="eastAsia" w:ascii="仿宋_GB2312" w:eastAsia="仿宋_GB2312" w:cs="仿宋_GB2312"/>
          <w:b w:val="0"/>
          <w:bCs/>
          <w:kern w:val="0"/>
          <w:sz w:val="32"/>
          <w:szCs w:val="32"/>
          <w:lang w:val="en-US" w:eastAsia="zh-CN"/>
        </w:rPr>
        <w:t>513.91</w:t>
      </w:r>
      <w:r>
        <w:rPr>
          <w:rFonts w:hint="eastAsia" w:ascii="仿宋_GB2312" w:eastAsia="仿宋_GB2312" w:cs="仿宋_GB2312"/>
          <w:b w:val="0"/>
          <w:bCs/>
          <w:kern w:val="0"/>
          <w:sz w:val="32"/>
          <w:szCs w:val="32"/>
        </w:rPr>
        <w:t>万元，主要包括：基本工资、津贴补贴、 奖金、伙食补助费、绩效工资、机关事业单位基本养老保险缴费、职业年金缴费、其他社会保障缴费、其他工资福利支出、 离休费、退休费、生活补助、医疗费、奖励金、住房公积金；</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eastAsia="zh-CN"/>
        </w:rPr>
      </w:pPr>
      <w:r>
        <w:rPr>
          <w:rFonts w:hint="eastAsia" w:ascii="仿宋_GB2312" w:eastAsia="仿宋_GB2312" w:cs="仿宋_GB2312"/>
          <w:b w:val="0"/>
          <w:bCs/>
          <w:kern w:val="0"/>
          <w:sz w:val="32"/>
          <w:szCs w:val="32"/>
        </w:rPr>
        <w:t>公用经费</w:t>
      </w:r>
      <w:r>
        <w:rPr>
          <w:rFonts w:hint="eastAsia" w:ascii="仿宋_GB2312" w:eastAsia="仿宋_GB2312" w:cs="仿宋_GB2312"/>
          <w:b w:val="0"/>
          <w:bCs/>
          <w:kern w:val="0"/>
          <w:sz w:val="32"/>
          <w:szCs w:val="32"/>
          <w:lang w:val="en-US" w:eastAsia="zh-CN"/>
        </w:rPr>
        <w:t>64.87</w:t>
      </w:r>
      <w:r>
        <w:rPr>
          <w:rFonts w:hint="eastAsia" w:ascii="仿宋_GB2312" w:eastAsia="仿宋_GB2312" w:cs="仿宋_GB2312"/>
          <w:b w:val="0"/>
          <w:bCs/>
          <w:kern w:val="0"/>
          <w:sz w:val="32"/>
          <w:szCs w:val="32"/>
        </w:rPr>
        <w:t>万元，主要 包括：办公费、印刷费、咨询费、手续费、水费、电费、邮电 费、物业管理费、差旅费、维 修（护）费、会议费、培训费、公务接待费、劳务费、委托业务费、工会经费、福利费、其他交通费用、税金及附加费用、其他商品和服务支出、办公设备购置、专用设备购置</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 xml:space="preserve">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年度“三公”经费财政拨款支出预算为</w:t>
      </w:r>
      <w:r>
        <w:rPr>
          <w:rFonts w:hint="eastAsia" w:ascii="仿宋_GB2312" w:eastAsia="仿宋_GB2312" w:cs="仿宋_GB2312"/>
          <w:bCs/>
          <w:kern w:val="0"/>
          <w:sz w:val="32"/>
          <w:szCs w:val="32"/>
          <w:lang w:val="en-US" w:eastAsia="zh-CN"/>
        </w:rPr>
        <w:t>3.02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2.15</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71.2</w:t>
      </w:r>
      <w:r>
        <w:rPr>
          <w:rFonts w:hint="eastAsia" w:ascii="仿宋_GB2312" w:eastAsia="仿宋_GB2312" w:cs="仿宋_GB2312"/>
          <w:bCs/>
          <w:kern w:val="0"/>
          <w:sz w:val="32"/>
          <w:szCs w:val="32"/>
        </w:rPr>
        <w:t>%，其中：公务用车购置及运行费支出决算为</w:t>
      </w:r>
      <w:r>
        <w:rPr>
          <w:rFonts w:hint="eastAsia" w:ascii="仿宋_GB2312" w:eastAsia="仿宋_GB2312" w:cs="仿宋_GB2312"/>
          <w:bCs/>
          <w:kern w:val="0"/>
          <w:sz w:val="32"/>
          <w:szCs w:val="32"/>
          <w:lang w:val="en-US" w:eastAsia="zh-CN"/>
        </w:rPr>
        <w:t>1.29</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64.5</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0.86</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84.3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年度“三公”经费支出决算数小于预算数的主要原因是认真贯彻落实中央“八项规定”精神和厉行节约要求，进一步从严控制“三公”经费开支，全年实际支出比预算有所节约</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年度“三公”经费财政拨款支出决算数比</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年减少</w:t>
      </w:r>
      <w:r>
        <w:rPr>
          <w:rFonts w:hint="eastAsia" w:ascii="仿宋_GB2312" w:eastAsia="仿宋_GB2312" w:cs="仿宋_GB2312"/>
          <w:bCs/>
          <w:kern w:val="0"/>
          <w:sz w:val="32"/>
          <w:szCs w:val="32"/>
          <w:lang w:val="en-US" w:eastAsia="zh-CN"/>
        </w:rPr>
        <w:t>4.9</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69.5</w:t>
      </w:r>
      <w:r>
        <w:rPr>
          <w:rFonts w:hint="eastAsia" w:ascii="仿宋_GB2312" w:eastAsia="仿宋_GB2312" w:cs="仿宋_GB2312"/>
          <w:bCs/>
          <w:kern w:val="0"/>
          <w:sz w:val="32"/>
          <w:szCs w:val="32"/>
        </w:rPr>
        <w:t>%，其中：因公出国（境）费支出决算</w:t>
      </w:r>
      <w:r>
        <w:rPr>
          <w:rFonts w:hint="eastAsia" w:ascii="仿宋_GB2312" w:eastAsia="仿宋_GB2312" w:cs="仿宋_GB2312"/>
          <w:bCs/>
          <w:kern w:val="0"/>
          <w:sz w:val="32"/>
          <w:szCs w:val="32"/>
          <w:lang w:eastAsia="zh-CN"/>
        </w:rPr>
        <w:t>今年为</w:t>
      </w:r>
      <w:r>
        <w:rPr>
          <w:rFonts w:hint="eastAsia" w:ascii="仿宋_GB2312" w:eastAsia="仿宋_GB2312" w:cs="仿宋_GB2312"/>
          <w:bCs/>
          <w:kern w:val="0"/>
          <w:sz w:val="32"/>
          <w:szCs w:val="32"/>
          <w:lang w:val="en-US" w:eastAsia="zh-CN"/>
        </w:rPr>
        <w:t>0万元，</w:t>
      </w:r>
      <w:r>
        <w:rPr>
          <w:rFonts w:hint="eastAsia" w:ascii="仿宋_GB2312" w:eastAsia="仿宋_GB2312" w:cs="仿宋_GB2312"/>
          <w:bCs/>
          <w:kern w:val="0"/>
          <w:sz w:val="32"/>
          <w:szCs w:val="32"/>
        </w:rPr>
        <w:t>减少</w:t>
      </w:r>
      <w:r>
        <w:rPr>
          <w:rFonts w:hint="eastAsia" w:ascii="仿宋_GB2312" w:eastAsia="仿宋_GB2312" w:cs="仿宋_GB2312"/>
          <w:bCs/>
          <w:kern w:val="0"/>
          <w:sz w:val="32"/>
          <w:szCs w:val="32"/>
          <w:lang w:val="en-US" w:eastAsia="zh-CN"/>
        </w:rPr>
        <w:t>5.3</w:t>
      </w:r>
      <w:r>
        <w:rPr>
          <w:rFonts w:hint="eastAsia" w:ascii="仿宋_GB2312" w:eastAsia="仿宋_GB2312" w:cs="仿宋_GB2312"/>
          <w:bCs/>
          <w:kern w:val="0"/>
          <w:sz w:val="32"/>
          <w:szCs w:val="32"/>
        </w:rPr>
        <w:t>万元；公务接待费支出决算减少</w:t>
      </w:r>
      <w:r>
        <w:rPr>
          <w:rFonts w:hint="eastAsia" w:ascii="仿宋_GB2312" w:eastAsia="仿宋_GB2312" w:cs="仿宋_GB2312"/>
          <w:bCs/>
          <w:kern w:val="0"/>
          <w:sz w:val="32"/>
          <w:szCs w:val="32"/>
          <w:lang w:val="en-US" w:eastAsia="zh-CN"/>
        </w:rPr>
        <w:t>0.26</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30.23</w:t>
      </w:r>
      <w:r>
        <w:rPr>
          <w:rFonts w:hint="eastAsia" w:ascii="仿宋_GB2312" w:eastAsia="仿宋_GB2312" w:cs="仿宋_GB2312"/>
          <w:bCs/>
          <w:kern w:val="0"/>
          <w:sz w:val="32"/>
          <w:szCs w:val="32"/>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因公出国（境）费支出减少的主要原因是</w:t>
      </w:r>
      <w:r>
        <w:rPr>
          <w:rFonts w:hint="eastAsia" w:ascii="仿宋_GB2312" w:eastAsia="仿宋_GB2312" w:cs="仿宋_GB2312"/>
          <w:bCs/>
          <w:kern w:val="0"/>
          <w:sz w:val="32"/>
          <w:szCs w:val="32"/>
          <w:lang w:eastAsia="zh-CN"/>
        </w:rPr>
        <w:t>我单位今年没有因公出国安排；</w:t>
      </w:r>
      <w:r>
        <w:rPr>
          <w:rFonts w:hint="eastAsia" w:ascii="仿宋_GB2312" w:eastAsia="仿宋_GB2312" w:cs="仿宋_GB2312"/>
          <w:bCs/>
          <w:kern w:val="0"/>
          <w:sz w:val="32"/>
          <w:szCs w:val="32"/>
        </w:rPr>
        <w:t>公务接待费支出减少的主要原因是认真贯彻落实中央“八项规定”精神和厉行节约要求，进一步从严控制“三公”经费开支，全年实际支出比预算有所节约。</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年度“三公”经费财政拨款支出决算中，公务用车购置及运行费 支出决算</w:t>
      </w:r>
      <w:r>
        <w:rPr>
          <w:rFonts w:hint="eastAsia" w:ascii="仿宋_GB2312" w:eastAsia="仿宋_GB2312" w:cs="仿宋_GB2312"/>
          <w:bCs/>
          <w:kern w:val="0"/>
          <w:sz w:val="32"/>
          <w:szCs w:val="32"/>
          <w:lang w:val="en-US" w:eastAsia="zh-CN"/>
        </w:rPr>
        <w:t>1.29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60</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0.86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40</w:t>
      </w:r>
      <w:r>
        <w:rPr>
          <w:rFonts w:hint="eastAsia" w:ascii="仿宋_GB2312" w:eastAsia="仿宋_GB2312" w:cs="仿宋_GB2312"/>
          <w:bCs/>
          <w:kern w:val="0"/>
          <w:sz w:val="32"/>
          <w:szCs w:val="32"/>
        </w:rPr>
        <w:t xml:space="preserve">%。具体情况如下：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1</w:t>
      </w:r>
      <w:r>
        <w:rPr>
          <w:rFonts w:hint="eastAsia" w:ascii="仿宋_GB2312" w:eastAsia="仿宋_GB2312" w:cs="仿宋_GB2312"/>
          <w:bCs/>
          <w:kern w:val="0"/>
          <w:sz w:val="32"/>
          <w:szCs w:val="32"/>
        </w:rPr>
        <w:t>.公务用车购置及运行费支出</w:t>
      </w:r>
      <w:r>
        <w:rPr>
          <w:rFonts w:hint="eastAsia" w:ascii="仿宋_GB2312" w:eastAsia="仿宋_GB2312" w:cs="仿宋_GB2312"/>
          <w:bCs/>
          <w:kern w:val="0"/>
          <w:sz w:val="32"/>
          <w:szCs w:val="32"/>
          <w:lang w:val="en-US" w:eastAsia="zh-CN"/>
        </w:rPr>
        <w:t>1.29</w:t>
      </w:r>
      <w:r>
        <w:rPr>
          <w:rFonts w:hint="eastAsia" w:ascii="仿宋_GB2312" w:eastAsia="仿宋_GB2312" w:cs="仿宋_GB2312"/>
          <w:bCs/>
          <w:kern w:val="0"/>
          <w:sz w:val="32"/>
          <w:szCs w:val="32"/>
        </w:rPr>
        <w:t>万元。其中：公务用车运行支出</w:t>
      </w:r>
      <w:r>
        <w:rPr>
          <w:rFonts w:hint="eastAsia" w:ascii="仿宋_GB2312" w:eastAsia="仿宋_GB2312" w:cs="仿宋_GB2312"/>
          <w:bCs/>
          <w:kern w:val="0"/>
          <w:sz w:val="32"/>
          <w:szCs w:val="32"/>
          <w:lang w:val="en-US" w:eastAsia="zh-CN"/>
        </w:rPr>
        <w:t>1.29</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公务用车运行维护。201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年，机关所属单位开支财政拨款的公务用车保有量为</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辆。</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0.86</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60" w:lineRule="exact"/>
        <w:ind w:firstLine="640" w:firstLineChars="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0.86</w:t>
      </w:r>
      <w:r>
        <w:rPr>
          <w:rFonts w:hint="eastAsia" w:ascii="仿宋_GB2312" w:eastAsia="仿宋_GB2312" w:cs="仿宋_GB2312"/>
          <w:bCs/>
          <w:kern w:val="0"/>
          <w:sz w:val="32"/>
          <w:szCs w:val="32"/>
        </w:rPr>
        <w:t>万元。主要用于接待自治区残联来柳检查督查各项工作及其他地市残联来柳州市残联考察交流学习座谈开支。</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年共接待国内来访团组</w:t>
      </w:r>
      <w:r>
        <w:rPr>
          <w:rFonts w:hint="eastAsia" w:ascii="仿宋_GB2312" w:eastAsia="仿宋_GB2312" w:cs="仿宋_GB2312"/>
          <w:bCs/>
          <w:kern w:val="0"/>
          <w:sz w:val="32"/>
          <w:szCs w:val="32"/>
          <w:lang w:val="en-US" w:eastAsia="zh-CN"/>
        </w:rPr>
        <w:t>10</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67</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0" w:firstLineChars="0"/>
        <w:jc w:val="left"/>
        <w:rPr>
          <w:rFonts w:hint="eastAsia" w:ascii="仿宋_GB2312" w:eastAsia="仿宋_GB2312" w:cs="仿宋_GB2312"/>
          <w:b/>
          <w:bCs w:val="0"/>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八、</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 xml:space="preserve"> 年度政府性基金预算财政拨款收入支出决算情况说明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本部门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年度政府基金预算财政拨款收、支总决算 </w:t>
      </w:r>
      <w:r>
        <w:rPr>
          <w:rFonts w:hint="eastAsia" w:ascii="仿宋_GB2312" w:eastAsia="仿宋_GB2312" w:cs="仿宋_GB2312"/>
          <w:bCs/>
          <w:kern w:val="0"/>
          <w:sz w:val="32"/>
          <w:szCs w:val="32"/>
          <w:lang w:val="en-US" w:eastAsia="zh-CN"/>
        </w:rPr>
        <w:t>63</w:t>
      </w:r>
      <w:r>
        <w:rPr>
          <w:rFonts w:hint="eastAsia" w:ascii="仿宋_GB2312" w:eastAsia="仿宋_GB2312" w:cs="仿宋_GB2312"/>
          <w:bCs/>
          <w:kern w:val="0"/>
          <w:sz w:val="32"/>
          <w:szCs w:val="32"/>
        </w:rPr>
        <w:t xml:space="preserve">万元。与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 xml:space="preserve"> 年相比，收、支总计各</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663.47</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91.33</w:t>
      </w:r>
      <w:r>
        <w:rPr>
          <w:rFonts w:hint="eastAsia" w:ascii="仿宋_GB2312" w:eastAsia="仿宋_GB2312" w:cs="仿宋_GB2312"/>
          <w:bCs/>
          <w:kern w:val="0"/>
          <w:sz w:val="32"/>
          <w:szCs w:val="32"/>
        </w:rPr>
        <w:t>%。其中，支出情况为：</w:t>
      </w:r>
    </w:p>
    <w:p>
      <w:pPr>
        <w:autoSpaceDE w:val="0"/>
        <w:autoSpaceDN w:val="0"/>
        <w:adjustRightInd w:val="0"/>
        <w:spacing w:line="560" w:lineRule="exact"/>
        <w:ind w:firstLine="800" w:firstLineChars="25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年基金拨款年初预算为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w:t>
      </w:r>
      <w:r>
        <w:rPr>
          <w:rFonts w:hint="eastAsia" w:ascii="仿宋_GB2312" w:eastAsia="仿宋_GB2312" w:cs="仿宋_GB2312"/>
          <w:bCs/>
          <w:kern w:val="0"/>
          <w:sz w:val="32"/>
          <w:szCs w:val="32"/>
          <w:lang w:val="en-US" w:eastAsia="zh-CN"/>
        </w:rPr>
        <w:t>63</w:t>
      </w:r>
      <w:r>
        <w:rPr>
          <w:rFonts w:hint="eastAsia" w:ascii="仿宋_GB2312" w:eastAsia="仿宋_GB2312" w:cs="仿宋_GB2312"/>
          <w:bCs/>
          <w:kern w:val="0"/>
          <w:sz w:val="32"/>
          <w:szCs w:val="32"/>
        </w:rPr>
        <w:t>万元，决算大于预算数主要原因：年中追加安排政府性基金财政拨款支出预算，涉及项目有中央彩票公益金残疾儿童康复救助项目</w:t>
      </w:r>
      <w:r>
        <w:rPr>
          <w:rFonts w:hint="eastAsia" w:ascii="仿宋_GB2312" w:eastAsia="仿宋_GB2312" w:cs="仿宋_GB2312"/>
          <w:bCs/>
          <w:kern w:val="0"/>
          <w:sz w:val="32"/>
          <w:szCs w:val="32"/>
          <w:lang w:val="en-US" w:eastAsia="zh-CN"/>
        </w:rPr>
        <w:t>60</w:t>
      </w:r>
      <w:r>
        <w:rPr>
          <w:rFonts w:hint="eastAsia" w:ascii="仿宋_GB2312" w:eastAsia="仿宋_GB2312" w:cs="仿宋_GB2312"/>
          <w:bCs/>
          <w:kern w:val="0"/>
          <w:sz w:val="32"/>
          <w:szCs w:val="32"/>
        </w:rPr>
        <w:t>万元及贫困残疾儿童学前教育资助</w:t>
      </w:r>
      <w:r>
        <w:rPr>
          <w:rFonts w:hint="eastAsia" w:ascii="仿宋_GB2312" w:eastAsia="仿宋_GB2312" w:cs="仿宋_GB2312"/>
          <w:bCs/>
          <w:kern w:val="0"/>
          <w:sz w:val="32"/>
          <w:szCs w:val="32"/>
          <w:lang w:val="en-US" w:eastAsia="zh-CN"/>
        </w:rPr>
        <w:t>15</w:t>
      </w:r>
      <w:r>
        <w:rPr>
          <w:rFonts w:hint="eastAsia" w:ascii="仿宋_GB2312" w:eastAsia="仿宋_GB2312" w:cs="仿宋_GB2312"/>
          <w:bCs/>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1.</w:t>
      </w:r>
      <w:r>
        <w:rPr>
          <w:rFonts w:hint="eastAsia" w:ascii="仿宋_GB2312" w:eastAsia="仿宋_GB2312" w:cs="仿宋_GB2312"/>
          <w:bCs/>
          <w:kern w:val="0"/>
          <w:sz w:val="32"/>
          <w:szCs w:val="32"/>
          <w:lang w:eastAsia="zh-CN"/>
        </w:rPr>
        <w:t>其他支出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彩票公益金安排的支出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用于残疾人事业的彩票公益金支出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63</w:t>
      </w:r>
      <w:r>
        <w:rPr>
          <w:rFonts w:hint="eastAsia" w:ascii="仿宋_GB2312" w:eastAsia="仿宋_GB2312" w:cs="仿宋_GB2312"/>
          <w:bCs/>
          <w:kern w:val="0"/>
          <w:sz w:val="32"/>
          <w:szCs w:val="32"/>
        </w:rPr>
        <w:t>万元。决算数大于预算数的主要原因是年中追加安排政府性基金财政拨款支出预算，涉及项目有中央彩票公益金残疾儿童康复救助项目</w:t>
      </w:r>
      <w:r>
        <w:rPr>
          <w:rFonts w:hint="eastAsia" w:ascii="仿宋_GB2312" w:eastAsia="仿宋_GB2312" w:cs="仿宋_GB2312"/>
          <w:bCs/>
          <w:kern w:val="0"/>
          <w:sz w:val="32"/>
          <w:szCs w:val="32"/>
          <w:lang w:val="en-US" w:eastAsia="zh-CN"/>
        </w:rPr>
        <w:t>60</w:t>
      </w:r>
      <w:r>
        <w:rPr>
          <w:rFonts w:hint="eastAsia" w:ascii="仿宋_GB2312" w:eastAsia="仿宋_GB2312" w:cs="仿宋_GB2312"/>
          <w:bCs/>
          <w:kern w:val="0"/>
          <w:sz w:val="32"/>
          <w:szCs w:val="32"/>
        </w:rPr>
        <w:t>万元及贫困残疾儿童学前教育资助</w:t>
      </w:r>
      <w:r>
        <w:rPr>
          <w:rFonts w:hint="eastAsia" w:ascii="仿宋_GB2312" w:eastAsia="仿宋_GB2312" w:cs="仿宋_GB2312"/>
          <w:bCs/>
          <w:kern w:val="0"/>
          <w:sz w:val="32"/>
          <w:szCs w:val="32"/>
          <w:lang w:val="en-US" w:eastAsia="zh-CN"/>
        </w:rPr>
        <w:t>15</w:t>
      </w:r>
      <w:r>
        <w:rPr>
          <w:rFonts w:hint="eastAsia" w:ascii="仿宋_GB2312" w:eastAsia="仿宋_GB2312" w:cs="仿宋_GB2312"/>
          <w:bCs/>
          <w:kern w:val="0"/>
          <w:sz w:val="32"/>
          <w:szCs w:val="32"/>
        </w:rPr>
        <w:t>万元。</w:t>
      </w:r>
    </w:p>
    <w:p>
      <w:pPr>
        <w:autoSpaceDE w:val="0"/>
        <w:autoSpaceDN w:val="0"/>
        <w:adjustRightInd w:val="0"/>
        <w:ind w:firstLine="643" w:firstLineChars="200"/>
        <w:jc w:val="left"/>
        <w:rPr>
          <w:rFonts w:hint="eastAsia" w:ascii="仿宋_GB2312" w:eastAsia="仿宋_GB2312" w:cs="仿宋_GB2312"/>
          <w:b/>
          <w:bCs w:val="0"/>
          <w:kern w:val="0"/>
          <w:sz w:val="32"/>
          <w:szCs w:val="32"/>
        </w:rPr>
      </w:pPr>
      <w:r>
        <w:rPr>
          <w:rFonts w:hint="eastAsia" w:ascii="仿宋_GB2312" w:eastAsia="仿宋_GB2312" w:cs="仿宋_GB2312"/>
          <w:b/>
          <w:bCs w:val="0"/>
          <w:kern w:val="0"/>
          <w:sz w:val="32"/>
          <w:szCs w:val="32"/>
          <w:lang w:eastAsia="zh-CN"/>
        </w:rPr>
        <w:t>九、</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bCs w:val="0"/>
          <w:kern w:val="0"/>
          <w:sz w:val="32"/>
          <w:szCs w:val="32"/>
        </w:rPr>
        <w:t xml:space="preserve"> 年度预算绩效情况说明</w:t>
      </w:r>
    </w:p>
    <w:p>
      <w:pPr>
        <w:numPr>
          <w:ilvl w:val="0"/>
          <w:numId w:val="1"/>
        </w:num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根据财政预算管理要求，本部门组织对201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年度一般公共预算</w:t>
      </w:r>
      <w:r>
        <w:rPr>
          <w:rFonts w:hint="eastAsia" w:ascii="仿宋_GB2312" w:eastAsia="仿宋_GB2312" w:cs="仿宋_GB2312"/>
          <w:bCs/>
          <w:kern w:val="0"/>
          <w:sz w:val="32"/>
          <w:szCs w:val="32"/>
          <w:lang w:eastAsia="zh-CN"/>
        </w:rPr>
        <w:t>三</w:t>
      </w:r>
      <w:r>
        <w:rPr>
          <w:rFonts w:hint="eastAsia" w:ascii="仿宋_GB2312" w:eastAsia="仿宋_GB2312" w:cs="仿宋_GB2312"/>
          <w:bCs/>
          <w:kern w:val="0"/>
          <w:sz w:val="32"/>
          <w:szCs w:val="32"/>
        </w:rPr>
        <w:t>个重点项目支出开展绩效自评。</w:t>
      </w:r>
      <w:r>
        <w:rPr>
          <w:rFonts w:hint="eastAsia" w:ascii="仿宋_GB2312" w:eastAsia="仿宋_GB2312" w:cs="仿宋_GB2312"/>
          <w:bCs/>
          <w:kern w:val="0"/>
          <w:sz w:val="32"/>
          <w:szCs w:val="32"/>
          <w:lang w:eastAsia="zh-CN"/>
        </w:rPr>
        <w:t>三</w:t>
      </w:r>
      <w:r>
        <w:rPr>
          <w:rFonts w:hint="eastAsia" w:ascii="仿宋_GB2312" w:eastAsia="仿宋_GB2312" w:cs="仿宋_GB2312"/>
          <w:bCs/>
          <w:kern w:val="0"/>
          <w:sz w:val="32"/>
          <w:szCs w:val="32"/>
        </w:rPr>
        <w:t>个项目均属一级项目，分别是：残疾人康复经费、残疾人专职委员岗位及社会保险补贴、残疾人康复设施设备购置经费涉及预算资金</w:t>
      </w:r>
      <w:r>
        <w:rPr>
          <w:rFonts w:hint="eastAsia" w:ascii="仿宋_GB2312" w:eastAsia="仿宋_GB2312" w:cs="仿宋_GB2312"/>
          <w:bCs/>
          <w:kern w:val="0"/>
          <w:sz w:val="32"/>
          <w:szCs w:val="32"/>
          <w:lang w:val="en-US" w:eastAsia="zh-CN"/>
        </w:rPr>
        <w:t>2932.54</w:t>
      </w:r>
      <w:r>
        <w:rPr>
          <w:rFonts w:hint="eastAsia" w:ascii="仿宋_GB2312" w:eastAsia="仿宋_GB2312" w:cs="仿宋_GB2312"/>
          <w:bCs/>
          <w:kern w:val="0"/>
          <w:sz w:val="32"/>
          <w:szCs w:val="32"/>
        </w:rPr>
        <w:t xml:space="preserve">万元，自评覆盖率达到100%。 </w:t>
      </w:r>
    </w:p>
    <w:p>
      <w:pPr>
        <w:numPr>
          <w:ilvl w:val="0"/>
          <w:numId w:val="1"/>
        </w:numPr>
        <w:spacing w:line="560" w:lineRule="exact"/>
        <w:ind w:left="0" w:leftChars="0" w:firstLine="640" w:firstLineChars="200"/>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部门决算中项目绩效自评结果</w:t>
      </w:r>
      <w:r>
        <w:rPr>
          <w:rFonts w:hint="eastAsia" w:ascii="仿宋_GB2312" w:eastAsia="仿宋_GB2312" w:cs="仿宋_GB2312"/>
          <w:bCs/>
          <w:kern w:val="0"/>
          <w:sz w:val="32"/>
          <w:szCs w:val="32"/>
          <w:lang w:eastAsia="zh-CN"/>
        </w:rPr>
        <w:t>。</w:t>
      </w:r>
    </w:p>
    <w:p>
      <w:pPr>
        <w:numPr>
          <w:ilvl w:val="0"/>
          <w:numId w:val="2"/>
        </w:numPr>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总体情况：</w:t>
      </w:r>
      <w:r>
        <w:rPr>
          <w:rFonts w:hint="eastAsia" w:ascii="仿宋_GB2312" w:eastAsia="仿宋_GB2312" w:cs="仿宋_GB2312"/>
          <w:bCs/>
          <w:kern w:val="0"/>
          <w:sz w:val="32"/>
          <w:szCs w:val="32"/>
          <w:lang w:eastAsia="zh-CN"/>
        </w:rPr>
        <w:t>三</w:t>
      </w:r>
      <w:r>
        <w:rPr>
          <w:rFonts w:hint="eastAsia" w:ascii="仿宋_GB2312" w:eastAsia="仿宋_GB2312" w:cs="仿宋_GB2312"/>
          <w:bCs/>
          <w:kern w:val="0"/>
          <w:sz w:val="32"/>
          <w:szCs w:val="32"/>
        </w:rPr>
        <w:t>个重点项目201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年度预算绩效自评平均分</w:t>
      </w:r>
      <w:r>
        <w:rPr>
          <w:rFonts w:hint="eastAsia" w:ascii="仿宋_GB2312" w:eastAsia="仿宋_GB2312" w:cs="仿宋_GB2312"/>
          <w:bCs/>
          <w:kern w:val="0"/>
          <w:sz w:val="32"/>
          <w:szCs w:val="32"/>
          <w:lang w:val="en-US" w:eastAsia="zh-CN"/>
        </w:rPr>
        <w:t>97</w:t>
      </w:r>
      <w:r>
        <w:rPr>
          <w:rFonts w:hint="eastAsia" w:ascii="仿宋_GB2312" w:eastAsia="仿宋_GB2312" w:cs="仿宋_GB2312"/>
          <w:bCs/>
          <w:kern w:val="0"/>
          <w:sz w:val="32"/>
          <w:szCs w:val="32"/>
        </w:rPr>
        <w:t>分，绩效评级为“良”。全年财政预算</w:t>
      </w:r>
      <w:r>
        <w:rPr>
          <w:rFonts w:hint="eastAsia" w:ascii="仿宋_GB2312" w:eastAsia="仿宋_GB2312" w:cs="仿宋_GB2312"/>
          <w:bCs/>
          <w:kern w:val="0"/>
          <w:sz w:val="32"/>
          <w:szCs w:val="32"/>
          <w:lang w:val="en-US" w:eastAsia="zh-CN"/>
        </w:rPr>
        <w:t>2932.54</w:t>
      </w:r>
      <w:r>
        <w:rPr>
          <w:rFonts w:ascii="仿宋_GB2312" w:eastAsia="仿宋_GB2312" w:cs="仿宋_GB2312"/>
          <w:bCs/>
          <w:kern w:val="0"/>
          <w:sz w:val="32"/>
          <w:szCs w:val="32"/>
        </w:rPr>
        <w:t>万元，实际执行数</w:t>
      </w:r>
      <w:r>
        <w:rPr>
          <w:rFonts w:hint="eastAsia" w:ascii="仿宋_GB2312" w:eastAsia="仿宋_GB2312" w:cs="仿宋_GB2312"/>
          <w:bCs/>
          <w:kern w:val="0"/>
          <w:sz w:val="32"/>
          <w:szCs w:val="32"/>
          <w:lang w:val="en-US" w:eastAsia="zh-CN"/>
        </w:rPr>
        <w:t>2886.54</w:t>
      </w:r>
      <w:r>
        <w:rPr>
          <w:rFonts w:hint="eastAsia" w:ascii="仿宋_GB2312" w:eastAsia="仿宋_GB2312" w:cs="仿宋_GB2312"/>
          <w:bCs/>
          <w:kern w:val="0"/>
          <w:sz w:val="32"/>
          <w:szCs w:val="32"/>
        </w:rPr>
        <w:t>万元，预算资金执行率</w:t>
      </w:r>
      <w:r>
        <w:rPr>
          <w:rFonts w:hint="eastAsia" w:ascii="仿宋_GB2312" w:eastAsia="仿宋_GB2312" w:cs="仿宋_GB2312"/>
          <w:bCs/>
          <w:kern w:val="0"/>
          <w:sz w:val="32"/>
          <w:szCs w:val="32"/>
          <w:lang w:val="en-US" w:eastAsia="zh-CN"/>
        </w:rPr>
        <w:t>98.43</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numPr>
          <w:ilvl w:val="0"/>
          <w:numId w:val="0"/>
        </w:numPr>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2.分项情况：</w:t>
      </w:r>
    </w:p>
    <w:p>
      <w:pPr>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残疾人康复经费项目预算</w:t>
      </w:r>
      <w:r>
        <w:rPr>
          <w:rFonts w:hint="eastAsia" w:ascii="仿宋_GB2312" w:eastAsia="仿宋_GB2312" w:cs="仿宋_GB2312"/>
          <w:bCs/>
          <w:kern w:val="0"/>
          <w:sz w:val="32"/>
          <w:szCs w:val="32"/>
          <w:lang w:val="en-US" w:eastAsia="zh-CN"/>
        </w:rPr>
        <w:t>1344.2</w:t>
      </w:r>
      <w:r>
        <w:rPr>
          <w:rFonts w:hint="eastAsia" w:ascii="仿宋_GB2312" w:eastAsia="仿宋_GB2312" w:cs="仿宋_GB2312"/>
          <w:bCs/>
          <w:kern w:val="0"/>
          <w:sz w:val="32"/>
          <w:szCs w:val="32"/>
        </w:rPr>
        <w:t>万元，支出</w:t>
      </w:r>
      <w:r>
        <w:rPr>
          <w:rFonts w:hint="eastAsia" w:ascii="仿宋_GB2312" w:eastAsia="仿宋_GB2312" w:cs="仿宋_GB2312"/>
          <w:bCs/>
          <w:kern w:val="0"/>
          <w:sz w:val="32"/>
          <w:szCs w:val="32"/>
          <w:lang w:val="en-US" w:eastAsia="zh-CN"/>
        </w:rPr>
        <w:t>1344.2</w:t>
      </w:r>
      <w:r>
        <w:rPr>
          <w:rFonts w:hint="eastAsia" w:ascii="仿宋_GB2312" w:eastAsia="仿宋_GB2312" w:cs="仿宋_GB2312"/>
          <w:bCs/>
          <w:kern w:val="0"/>
          <w:sz w:val="32"/>
          <w:szCs w:val="32"/>
        </w:rPr>
        <w:t>万元，预算资金执行率</w:t>
      </w:r>
      <w:r>
        <w:rPr>
          <w:rFonts w:hint="eastAsia" w:ascii="仿宋_GB2312" w:eastAsia="仿宋_GB2312" w:cs="仿宋_GB2312"/>
          <w:bCs/>
          <w:kern w:val="0"/>
          <w:sz w:val="32"/>
          <w:szCs w:val="32"/>
          <w:lang w:val="en-US" w:eastAsia="zh-CN"/>
        </w:rPr>
        <w:t>100</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残疾人专职委员岗位及社会保险补贴预算</w:t>
      </w:r>
      <w:r>
        <w:rPr>
          <w:rFonts w:hint="eastAsia" w:ascii="仿宋_GB2312" w:eastAsia="仿宋_GB2312" w:cs="仿宋_GB2312"/>
          <w:bCs/>
          <w:kern w:val="0"/>
          <w:sz w:val="32"/>
          <w:szCs w:val="32"/>
          <w:lang w:val="en-US" w:eastAsia="zh-CN"/>
        </w:rPr>
        <w:t>838.34</w:t>
      </w:r>
      <w:r>
        <w:rPr>
          <w:rFonts w:hint="eastAsia" w:ascii="仿宋_GB2312" w:eastAsia="仿宋_GB2312" w:cs="仿宋_GB2312"/>
          <w:bCs/>
          <w:kern w:val="0"/>
          <w:sz w:val="32"/>
          <w:szCs w:val="32"/>
        </w:rPr>
        <w:t>万元，支出</w:t>
      </w:r>
      <w:r>
        <w:rPr>
          <w:rFonts w:hint="eastAsia" w:ascii="仿宋_GB2312" w:eastAsia="仿宋_GB2312" w:cs="仿宋_GB2312"/>
          <w:bCs/>
          <w:kern w:val="0"/>
          <w:sz w:val="32"/>
          <w:szCs w:val="32"/>
          <w:lang w:val="en-US" w:eastAsia="zh-CN"/>
        </w:rPr>
        <w:t>829.57</w:t>
      </w:r>
      <w:r>
        <w:rPr>
          <w:rFonts w:hint="eastAsia" w:ascii="仿宋_GB2312" w:eastAsia="仿宋_GB2312" w:cs="仿宋_GB2312"/>
          <w:bCs/>
          <w:kern w:val="0"/>
          <w:sz w:val="32"/>
          <w:szCs w:val="32"/>
        </w:rPr>
        <w:t>万元，预算资金执行率</w:t>
      </w:r>
      <w:r>
        <w:rPr>
          <w:rFonts w:hint="eastAsia" w:ascii="仿宋_GB2312" w:eastAsia="仿宋_GB2312" w:cs="仿宋_GB2312"/>
          <w:bCs/>
          <w:kern w:val="0"/>
          <w:sz w:val="32"/>
          <w:szCs w:val="32"/>
          <w:lang w:val="en-US" w:eastAsia="zh-CN"/>
        </w:rPr>
        <w:t>99.0</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残疾人康复设施设备购置经费预算</w:t>
      </w:r>
      <w:r>
        <w:rPr>
          <w:rFonts w:hint="eastAsia" w:ascii="仿宋_GB2312" w:eastAsia="仿宋_GB2312" w:cs="仿宋_GB2312"/>
          <w:bCs/>
          <w:kern w:val="0"/>
          <w:sz w:val="32"/>
          <w:szCs w:val="32"/>
          <w:lang w:val="en-US" w:eastAsia="zh-CN"/>
        </w:rPr>
        <w:t>750</w:t>
      </w:r>
      <w:r>
        <w:rPr>
          <w:rFonts w:hint="eastAsia" w:ascii="仿宋_GB2312" w:eastAsia="仿宋_GB2312" w:cs="仿宋_GB2312"/>
          <w:bCs/>
          <w:kern w:val="0"/>
          <w:sz w:val="32"/>
          <w:szCs w:val="32"/>
        </w:rPr>
        <w:t>万元，支出</w:t>
      </w:r>
      <w:r>
        <w:rPr>
          <w:rFonts w:hint="eastAsia" w:ascii="仿宋_GB2312" w:eastAsia="仿宋_GB2312" w:cs="仿宋_GB2312"/>
          <w:bCs/>
          <w:kern w:val="0"/>
          <w:sz w:val="32"/>
          <w:szCs w:val="32"/>
          <w:lang w:val="en-US" w:eastAsia="zh-CN"/>
        </w:rPr>
        <w:t>712.77</w:t>
      </w:r>
      <w:r>
        <w:rPr>
          <w:rFonts w:hint="eastAsia" w:ascii="仿宋_GB2312" w:eastAsia="仿宋_GB2312" w:cs="仿宋_GB2312"/>
          <w:bCs/>
          <w:kern w:val="0"/>
          <w:sz w:val="32"/>
          <w:szCs w:val="32"/>
        </w:rPr>
        <w:t>万元，预算资金执行率</w:t>
      </w:r>
      <w:r>
        <w:rPr>
          <w:rFonts w:hint="eastAsia" w:ascii="仿宋_GB2312" w:eastAsia="仿宋_GB2312" w:cs="仿宋_GB2312"/>
          <w:bCs/>
          <w:kern w:val="0"/>
          <w:sz w:val="32"/>
          <w:szCs w:val="32"/>
          <w:lang w:val="en-US" w:eastAsia="zh-CN"/>
        </w:rPr>
        <w:t>95.04</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numPr>
          <w:ilvl w:val="0"/>
          <w:numId w:val="2"/>
        </w:numPr>
        <w:autoSpaceDE w:val="0"/>
        <w:autoSpaceDN w:val="0"/>
        <w:adjustRightInd w:val="0"/>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绩效目标：</w:t>
      </w:r>
    </w:p>
    <w:p>
      <w:pPr>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残疾人康复项目</w:t>
      </w:r>
      <w:r>
        <w:rPr>
          <w:rFonts w:hint="eastAsia" w:ascii="仿宋_GB2312" w:eastAsia="仿宋_GB2312" w:cs="仿宋_GB2312"/>
          <w:bCs/>
          <w:kern w:val="0"/>
          <w:sz w:val="32"/>
          <w:szCs w:val="32"/>
          <w:lang w:eastAsia="zh-CN"/>
        </w:rPr>
        <w:t>绩效目标是</w:t>
      </w:r>
      <w:r>
        <w:rPr>
          <w:rFonts w:hint="eastAsia" w:ascii="仿宋_GB2312" w:eastAsia="仿宋_GB2312" w:cs="仿宋_GB2312"/>
          <w:bCs/>
          <w:kern w:val="0"/>
          <w:sz w:val="32"/>
          <w:szCs w:val="32"/>
        </w:rPr>
        <w:t>为各县（区）提供精准康复服务行动补贴经费；为残疾儿童康复救助配套补贴经费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为439名0-6岁有康复需求的残疾儿童提供康复训练服务配套补助经费878万元</w:t>
      </w:r>
      <w:r>
        <w:rPr>
          <w:rFonts w:hint="eastAsia" w:ascii="仿宋_GB2312" w:eastAsia="仿宋_GB2312" w:cs="仿宋_GB2312"/>
          <w:bCs/>
          <w:kern w:val="0"/>
          <w:sz w:val="32"/>
          <w:szCs w:val="32"/>
          <w:lang w:eastAsia="zh-CN"/>
        </w:rPr>
        <w:t>和</w:t>
      </w:r>
      <w:r>
        <w:rPr>
          <w:rFonts w:hint="eastAsia" w:ascii="仿宋_GB2312" w:eastAsia="仿宋_GB2312" w:cs="仿宋_GB2312"/>
          <w:bCs/>
          <w:kern w:val="0"/>
          <w:sz w:val="32"/>
          <w:szCs w:val="32"/>
        </w:rPr>
        <w:t>为443名7-17岁有康复需求的残疾儿童提供康复训练服务配套补助经费398.7万元；为全国创残疾预防综合试验区配套试点经费20万元；印刷残疾人精准康复服务手册2万本。</w:t>
      </w:r>
    </w:p>
    <w:p>
      <w:pPr>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sz w:val="32"/>
          <w:szCs w:val="32"/>
          <w:lang w:eastAsia="zh-CN"/>
        </w:rPr>
        <w:t>残疾人专职委岗位及社会保险补贴绩效目标是</w:t>
      </w:r>
      <w:r>
        <w:rPr>
          <w:rFonts w:hint="eastAsia" w:ascii="仿宋_GB2312" w:eastAsia="仿宋_GB2312"/>
          <w:sz w:val="32"/>
          <w:szCs w:val="32"/>
          <w:lang w:val="en-US" w:eastAsia="zh-CN"/>
        </w:rPr>
        <w:t>2019年由残联发放工资的专委平均在岗人数为240人。</w:t>
      </w:r>
      <w:r>
        <w:rPr>
          <w:rFonts w:hint="eastAsia" w:ascii="仿宋_GB2312" w:eastAsia="仿宋_GB2312" w:cs="仿宋_GB2312"/>
          <w:bCs/>
          <w:kern w:val="0"/>
          <w:sz w:val="32"/>
          <w:szCs w:val="32"/>
        </w:rPr>
        <w:t>加强和规范基层残疾人组织建设，解决残疾人就业难问题。</w:t>
      </w:r>
    </w:p>
    <w:p>
      <w:pPr>
        <w:numPr>
          <w:ilvl w:val="0"/>
          <w:numId w:val="0"/>
        </w:numPr>
        <w:autoSpaceDE w:val="0"/>
        <w:autoSpaceDN w:val="0"/>
        <w:adjustRightInd w:val="0"/>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残疾人康复设施设备购置</w:t>
      </w:r>
      <w:r>
        <w:rPr>
          <w:rFonts w:hint="eastAsia" w:ascii="仿宋_GB2312" w:eastAsia="仿宋_GB2312" w:cs="仿宋_GB2312"/>
          <w:bCs/>
          <w:kern w:val="0"/>
          <w:sz w:val="32"/>
          <w:szCs w:val="32"/>
          <w:lang w:eastAsia="zh-CN"/>
        </w:rPr>
        <w:t>项目绩效目标是</w:t>
      </w:r>
      <w:r>
        <w:rPr>
          <w:rFonts w:hint="eastAsia" w:ascii="仿宋_GB2312" w:eastAsia="仿宋_GB2312" w:cs="仿宋_GB2312"/>
          <w:bCs/>
          <w:kern w:val="0"/>
          <w:sz w:val="32"/>
          <w:szCs w:val="32"/>
        </w:rPr>
        <w:t>为实现残疾人“人人享有康复服务”目标，使有康复需求的肢体、听力、言语、智力、精神等各类残疾人有条件、有能力接受基本的康复服务，实现功能上的改善和能力上的提高。2019年购置柳州市残疾人康复托养中心大楼设施设备、柳州市残疾人康复中心大楼康复教学设施设备、听力康复评估、耳模制作等设施设备、柳州市自闭症儿童少年教育培训中心大楼智力残疾儿童康复教学等设施设备，将进一步推进我市残疾人社会保障和服务体系建设，改善残疾人状况，促进残疾人平等参与社会生活、共享改革发展成果。</w:t>
      </w:r>
    </w:p>
    <w:p>
      <w:pPr>
        <w:autoSpaceDE w:val="0"/>
        <w:autoSpaceDN w:val="0"/>
        <w:adjustRightInd w:val="0"/>
        <w:ind w:firstLine="643"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lang w:eastAsia="zh-CN"/>
        </w:rPr>
        <w:t>十、</w:t>
      </w:r>
      <w:r>
        <w:rPr>
          <w:rFonts w:hint="eastAsia" w:ascii="仿宋_GB2312" w:eastAsia="仿宋_GB2312" w:cs="仿宋_GB2312"/>
          <w:b/>
          <w:bCs w:val="0"/>
          <w:kern w:val="0"/>
          <w:sz w:val="32"/>
          <w:szCs w:val="32"/>
        </w:rPr>
        <w:t>其他重要事项的情况</w:t>
      </w:r>
    </w:p>
    <w:p>
      <w:pPr>
        <w:autoSpaceDE w:val="0"/>
        <w:autoSpaceDN w:val="0"/>
        <w:adjustRightInd w:val="0"/>
        <w:ind w:firstLine="640" w:firstLineChars="200"/>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（一）机关运行经费支出情况。201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年度部门机关运行经费支出</w:t>
      </w:r>
      <w:r>
        <w:rPr>
          <w:rFonts w:hint="eastAsia" w:ascii="仿宋_GB2312" w:eastAsia="仿宋_GB2312" w:cs="仿宋_GB2312"/>
          <w:kern w:val="0"/>
          <w:sz w:val="32"/>
          <w:szCs w:val="32"/>
          <w:lang w:val="en-US" w:eastAsia="zh-CN"/>
        </w:rPr>
        <w:t>39.91</w:t>
      </w:r>
      <w:r>
        <w:rPr>
          <w:rFonts w:hint="eastAsia" w:ascii="仿宋_GB2312" w:eastAsia="仿宋_GB2312" w:cs="仿宋_GB2312"/>
          <w:kern w:val="0"/>
          <w:sz w:val="32"/>
          <w:szCs w:val="32"/>
        </w:rPr>
        <w:t>万元，比 201</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13.21</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24.87</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rPr>
        <w:t>原因是</w:t>
      </w:r>
      <w:r>
        <w:rPr>
          <w:rFonts w:hint="eastAsia" w:ascii="仿宋_GB2312" w:eastAsia="仿宋_GB2312" w:cs="仿宋_GB2312"/>
          <w:kern w:val="0"/>
          <w:sz w:val="32"/>
          <w:szCs w:val="32"/>
          <w:lang w:val="en-US" w:eastAsia="zh-CN"/>
        </w:rPr>
        <w:t>2018年的在职人员公务交通补贴列支在一般公共预算财政拨款日常公用经费基本支出科目，而2019年列支在一般公共预算财政拨款日常人员经费基本支出科目。</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年度部门政府采购支出总额</w:t>
      </w:r>
      <w:r>
        <w:rPr>
          <w:rFonts w:hint="eastAsia" w:ascii="仿宋_GB2312" w:eastAsia="仿宋_GB2312" w:cs="仿宋_GB2312"/>
          <w:kern w:val="0"/>
          <w:sz w:val="32"/>
          <w:szCs w:val="32"/>
          <w:lang w:val="en-US" w:eastAsia="zh-CN"/>
        </w:rPr>
        <w:t>1151.65</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其中：货物支出</w:t>
      </w:r>
      <w:r>
        <w:rPr>
          <w:rFonts w:hint="eastAsia" w:ascii="仿宋_GB2312" w:eastAsia="仿宋_GB2312" w:cs="仿宋_GB2312"/>
          <w:kern w:val="0"/>
          <w:sz w:val="32"/>
          <w:szCs w:val="32"/>
          <w:lang w:val="en-US" w:eastAsia="zh-CN"/>
        </w:rPr>
        <w:t>969.49</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111.92</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70.24</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（三）国有资产占用情况。截至年末部门共有车辆1辆，其中：专业技术用车1辆；单价50万元以上通用设备1台。 </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numPr>
          <w:ilvl w:val="0"/>
          <w:numId w:val="3"/>
        </w:numPr>
        <w:ind w:firstLine="645"/>
        <w:rPr>
          <w:rFonts w:hint="eastAsia"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ind w:firstLine="645"/>
        <w:rPr>
          <w:rFonts w:hint="eastAsia" w:ascii="仿宋_GB2312" w:eastAsia="仿宋_GB2312"/>
          <w:bCs/>
          <w:sz w:val="32"/>
          <w:szCs w:val="32"/>
        </w:rPr>
      </w:pPr>
      <w:r>
        <w:rPr>
          <w:rFonts w:hint="eastAsia" w:ascii="仿宋_GB2312" w:eastAsia="仿宋_GB2312"/>
          <w:bCs/>
          <w:sz w:val="32"/>
          <w:szCs w:val="32"/>
        </w:rPr>
        <w:t>事业收入：指事业单位开展专业活动用辅助活动所取得的收入。如：柳州市残疾人康复中心承接各级残联为有康复需求的残疾人提供的辅助器具适配取得的收入等。</w:t>
      </w:r>
    </w:p>
    <w:p>
      <w:pPr>
        <w:numPr>
          <w:ilvl w:val="0"/>
          <w:numId w:val="3"/>
        </w:numPr>
        <w:ind w:firstLine="645"/>
        <w:rPr>
          <w:rFonts w:hint="eastAsia"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其他收入：指除上述“财政拨款收入”、“事业收入”、“经营收入”等以外的收入。主要是：银行利息收入。</w:t>
      </w:r>
    </w:p>
    <w:p>
      <w:pPr>
        <w:numPr>
          <w:ilvl w:val="0"/>
          <w:numId w:val="3"/>
        </w:numPr>
        <w:ind w:firstLine="645"/>
        <w:rPr>
          <w:rFonts w:hint="eastAsia"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ind w:firstLine="645"/>
        <w:rPr>
          <w:rFonts w:hint="eastAsia"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ind w:firstLine="645"/>
        <w:rPr>
          <w:rFonts w:hint="eastAsia"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ind w:firstLine="645"/>
        <w:rPr>
          <w:rFonts w:hint="eastAsia"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ind w:firstLine="645"/>
        <w:rPr>
          <w:rFonts w:hint="eastAsia" w:ascii="仿宋_GB2312" w:eastAsia="仿宋_GB2312"/>
          <w:bCs/>
          <w:sz w:val="32"/>
          <w:szCs w:val="32"/>
        </w:rPr>
      </w:pPr>
      <w:r>
        <w:rPr>
          <w:rFonts w:hint="eastAsia" w:ascii="仿宋_GB2312" w:eastAsia="仿宋_GB2312"/>
          <w:bCs/>
          <w:sz w:val="32"/>
          <w:szCs w:val="32"/>
        </w:rPr>
        <w:t xml:space="preserve"> “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ind w:firstLine="645"/>
        <w:rPr>
          <w:rFonts w:hint="eastAsia"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sectPr>
      <w:pgSz w:w="11906" w:h="16838"/>
      <w:pgMar w:top="1383"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4EE0B"/>
    <w:multiLevelType w:val="singleLevel"/>
    <w:tmpl w:val="9E74EE0B"/>
    <w:lvl w:ilvl="0" w:tentative="0">
      <w:start w:val="1"/>
      <w:numFmt w:val="decimal"/>
      <w:lvlText w:val="%1."/>
      <w:lvlJc w:val="left"/>
      <w:pPr>
        <w:tabs>
          <w:tab w:val="left" w:pos="312"/>
        </w:tabs>
      </w:p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205376"/>
    <w:rsid w:val="04EF3CDE"/>
    <w:rsid w:val="09343478"/>
    <w:rsid w:val="0FCE4AE0"/>
    <w:rsid w:val="1B6848B0"/>
    <w:rsid w:val="1DFB3BE0"/>
    <w:rsid w:val="1F0449FF"/>
    <w:rsid w:val="1FC236C1"/>
    <w:rsid w:val="26460DBA"/>
    <w:rsid w:val="29DC7ED1"/>
    <w:rsid w:val="2C4219FE"/>
    <w:rsid w:val="2DC84D69"/>
    <w:rsid w:val="2DD10A68"/>
    <w:rsid w:val="2EF27184"/>
    <w:rsid w:val="318F1765"/>
    <w:rsid w:val="36B9176F"/>
    <w:rsid w:val="39A63F06"/>
    <w:rsid w:val="3A8B1492"/>
    <w:rsid w:val="3ED1439F"/>
    <w:rsid w:val="4337490C"/>
    <w:rsid w:val="4395786A"/>
    <w:rsid w:val="445F005C"/>
    <w:rsid w:val="44C6288E"/>
    <w:rsid w:val="457E2341"/>
    <w:rsid w:val="463C2CFD"/>
    <w:rsid w:val="4C256E3D"/>
    <w:rsid w:val="4CB52F0F"/>
    <w:rsid w:val="4F2F1129"/>
    <w:rsid w:val="532F1F9A"/>
    <w:rsid w:val="62163194"/>
    <w:rsid w:val="664D2ADA"/>
    <w:rsid w:val="6E806558"/>
    <w:rsid w:val="713D28F7"/>
    <w:rsid w:val="734B4421"/>
    <w:rsid w:val="73951C43"/>
    <w:rsid w:val="772A5FEE"/>
    <w:rsid w:val="7C9D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font01"/>
    <w:basedOn w:val="5"/>
    <w:uiPriority w:val="0"/>
    <w:rPr>
      <w:rFonts w:hint="default" w:ascii="Times New Roman" w:hAnsi="Times New Roman" w:cs="Times New Roman"/>
      <w:color w:val="000000"/>
      <w:sz w:val="24"/>
      <w:szCs w:val="24"/>
      <w:u w:val="none"/>
    </w:rPr>
  </w:style>
  <w:style w:type="character" w:customStyle="1" w:styleId="8">
    <w:name w:val="font51"/>
    <w:basedOn w:val="5"/>
    <w:qFormat/>
    <w:uiPriority w:val="0"/>
    <w:rPr>
      <w:rFonts w:hint="eastAsia" w:ascii="宋体" w:hAnsi="宋体" w:eastAsia="宋体" w:cs="宋体"/>
      <w:color w:val="000000"/>
      <w:sz w:val="24"/>
      <w:szCs w:val="24"/>
      <w:u w:val="none"/>
    </w:rPr>
  </w:style>
  <w:style w:type="character" w:customStyle="1" w:styleId="9">
    <w:name w:val="font71"/>
    <w:basedOn w:val="5"/>
    <w:qFormat/>
    <w:uiPriority w:val="0"/>
    <w:rPr>
      <w:rFonts w:hint="eastAsia" w:ascii="宋体" w:hAnsi="宋体" w:eastAsia="宋体" w:cs="宋体"/>
      <w:color w:val="000000"/>
      <w:sz w:val="24"/>
      <w:szCs w:val="24"/>
      <w:u w:val="none"/>
    </w:rPr>
  </w:style>
  <w:style w:type="character" w:customStyle="1" w:styleId="10">
    <w:name w:val="font41"/>
    <w:basedOn w:val="5"/>
    <w:qFormat/>
    <w:uiPriority w:val="0"/>
    <w:rPr>
      <w:rFonts w:hint="eastAsia" w:ascii="宋体" w:hAnsi="宋体" w:eastAsia="宋体" w:cs="宋体"/>
      <w:color w:val="000000"/>
      <w:sz w:val="24"/>
      <w:szCs w:val="24"/>
      <w:u w:val="none"/>
    </w:rPr>
  </w:style>
  <w:style w:type="character" w:customStyle="1" w:styleId="11">
    <w:name w:val="font11"/>
    <w:basedOn w:val="5"/>
    <w:uiPriority w:val="0"/>
    <w:rPr>
      <w:rFonts w:hint="default" w:ascii="Times New Roman" w:hAnsi="Times New Roman" w:cs="Times New Roman"/>
      <w:color w:val="000000"/>
      <w:sz w:val="18"/>
      <w:szCs w:val="18"/>
      <w:u w:val="none"/>
    </w:rPr>
  </w:style>
  <w:style w:type="character" w:customStyle="1" w:styleId="12">
    <w:name w:val="font3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songsong</cp:lastModifiedBy>
  <dcterms:modified xsi:type="dcterms:W3CDTF">2020-09-24T07:49:47Z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